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359B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76200</wp:posOffset>
            </wp:positionV>
            <wp:extent cx="1696085" cy="405765"/>
            <wp:effectExtent l="0" t="0" r="18415" b="13335"/>
            <wp:wrapNone/>
            <wp:docPr id="40" name="图片 40" descr="尔雅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尔雅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8F64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</w:p>
    <w:p w14:paraId="65052B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</w:p>
    <w:p w14:paraId="5CCF7CF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</w:p>
    <w:p w14:paraId="3E67C0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  <w:t>超星尔雅通识课</w:t>
      </w:r>
    </w:p>
    <w:p w14:paraId="41B142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  <w:t>使用手册</w:t>
      </w:r>
    </w:p>
    <w:p w14:paraId="7F8449D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72"/>
          <w:szCs w:val="72"/>
        </w:rPr>
      </w:pPr>
    </w:p>
    <w:p w14:paraId="7A6E1FF6">
      <w:pPr>
        <w:rPr>
          <w:rFonts w:hint="eastAsia" w:ascii="微软雅黑" w:hAnsi="微软雅黑" w:eastAsia="微软雅黑" w:cs="微软雅黑"/>
          <w:sz w:val="72"/>
          <w:szCs w:val="72"/>
        </w:rPr>
      </w:pPr>
    </w:p>
    <w:p w14:paraId="1164A2BF">
      <w:pPr>
        <w:jc w:val="center"/>
        <w:rPr>
          <w:rFonts w:hint="eastAsia" w:ascii="微软雅黑" w:hAnsi="微软雅黑" w:eastAsia="微软雅黑" w:cs="微软雅黑"/>
          <w:sz w:val="72"/>
          <w:szCs w:val="72"/>
        </w:rPr>
        <w:sectPr>
          <w:headerReference r:id="rId3" w:type="default"/>
          <w:pgSz w:w="11906" w:h="16838"/>
          <w:pgMar w:top="1417" w:right="1417" w:bottom="1417" w:left="141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/>
          <w:b w:val="0"/>
          <w:bCs/>
          <w:sz w:val="32"/>
          <w:szCs w:val="16"/>
          <w:lang w:eastAsia="zh-CN"/>
        </w:rPr>
        <w:t>【</w:t>
      </w:r>
      <w:r>
        <w:rPr>
          <w:rFonts w:hint="eastAsia" w:ascii="黑体" w:hAnsi="黑体" w:eastAsia="黑体" w:cs="黑体"/>
          <w:b w:val="0"/>
          <w:bCs/>
          <w:sz w:val="32"/>
          <w:szCs w:val="16"/>
          <w:lang w:val="en-US" w:eastAsia="zh-CN"/>
        </w:rPr>
        <w:t>学生版</w:t>
      </w:r>
      <w:r>
        <w:rPr>
          <w:rFonts w:hint="eastAsia" w:ascii="宋体" w:hAnsi="宋体"/>
          <w:b w:val="0"/>
          <w:bCs/>
          <w:sz w:val="32"/>
          <w:szCs w:val="16"/>
          <w:lang w:eastAsia="zh-CN"/>
        </w:rPr>
        <w:t>】</w:t>
      </w:r>
    </w:p>
    <w:p w14:paraId="5F522297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目录</w:t>
      </w:r>
    </w:p>
    <w:p w14:paraId="723F33F6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</w:p>
    <w:p w14:paraId="6757C721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TOC \o "1-2" \h \u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_Toc6274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</w:rPr>
        <w:t>一． 手机</w:t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端</w:t>
      </w:r>
      <w:r>
        <w:tab/>
      </w:r>
      <w:r>
        <w:fldChar w:fldCharType="begin"/>
      </w:r>
      <w:r>
        <w:instrText xml:space="preserve"> PAGEREF _Toc6274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3511C875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_Toc13643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</w:rPr>
        <w:t>（一） 下载“学习通”</w:t>
      </w:r>
      <w:r>
        <w:tab/>
      </w:r>
      <w:r>
        <w:fldChar w:fldCharType="begin"/>
      </w:r>
      <w:r>
        <w:instrText xml:space="preserve"> PAGEREF _Toc13643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32E0B44C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_Toc13639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</w:rPr>
        <w:t xml:space="preserve">（二） </w:t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登录及注册绑定</w:t>
      </w:r>
      <w:r>
        <w:tab/>
      </w:r>
      <w:r>
        <w:fldChar w:fldCharType="begin"/>
      </w:r>
      <w:r>
        <w:instrText xml:space="preserve"> PAGEREF _Toc13639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516EB1C3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_Toc4667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（三） 学习课程</w:t>
      </w:r>
      <w:r>
        <w:tab/>
      </w:r>
      <w:r>
        <w:fldChar w:fldCharType="begin"/>
      </w:r>
      <w:r>
        <w:instrText xml:space="preserve"> PAGEREF _Toc4667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0FC3AC74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_Toc1232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（四） App端在线客服</w:t>
      </w:r>
      <w:r>
        <w:tab/>
      </w:r>
      <w:r>
        <w:fldChar w:fldCharType="begin"/>
      </w:r>
      <w:r>
        <w:instrText xml:space="preserve"> PAGEREF _Toc1232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67367C4E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_Toc28718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二． 网页端</w:t>
      </w:r>
      <w:r>
        <w:tab/>
      </w:r>
      <w:r>
        <w:fldChar w:fldCharType="begin"/>
      </w:r>
      <w:r>
        <w:instrText xml:space="preserve"> PAGEREF _Toc28718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000B947E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_Toc1646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（一） 登录及注册绑定</w:t>
      </w:r>
      <w:r>
        <w:tab/>
      </w:r>
      <w:r>
        <w:fldChar w:fldCharType="begin"/>
      </w:r>
      <w:r>
        <w:instrText xml:space="preserve"> PAGEREF _Toc1646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659C172C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_Toc5520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（二） 学习课程</w:t>
      </w:r>
      <w:r>
        <w:tab/>
      </w:r>
      <w:r>
        <w:fldChar w:fldCharType="begin"/>
      </w:r>
      <w:r>
        <w:instrText xml:space="preserve"> PAGEREF _Toc5520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52ED6B5A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_Toc8629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</w:rPr>
        <w:t xml:space="preserve">三． </w:t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注意事项</w:t>
      </w:r>
      <w:r>
        <w:tab/>
      </w:r>
      <w:r>
        <w:fldChar w:fldCharType="begin"/>
      </w:r>
      <w:r>
        <w:instrText xml:space="preserve"> PAGEREF _Toc8629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2D6F6D82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_Toc793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四． 常见问题</w:t>
      </w:r>
      <w:r>
        <w:tab/>
      </w:r>
      <w:r>
        <w:fldChar w:fldCharType="begin"/>
      </w:r>
      <w:r>
        <w:instrText xml:space="preserve"> PAGEREF _Toc793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7F36E742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_Toc30244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附件</w:t>
      </w:r>
      <w:r>
        <w:tab/>
      </w:r>
      <w:r>
        <w:fldChar w:fldCharType="begin"/>
      </w:r>
      <w:r>
        <w:instrText xml:space="preserve"> PAGEREF _Toc30244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6DD150CA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_Toc7497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一． 广场课学习方式及注意事项</w:t>
      </w:r>
      <w:r>
        <w:tab/>
      </w:r>
      <w:r>
        <w:fldChar w:fldCharType="begin"/>
      </w:r>
      <w:r>
        <w:instrText xml:space="preserve"> PAGEREF _Toc7497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3DE8D3EB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_Toc5432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（一）学习及考核要求</w:t>
      </w:r>
      <w:r>
        <w:tab/>
      </w:r>
      <w:r>
        <w:fldChar w:fldCharType="begin"/>
      </w:r>
      <w:r>
        <w:instrText xml:space="preserve"> PAGEREF _Toc5432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50499C9D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_Toc23231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（二）学习规则</w:t>
      </w:r>
      <w:r>
        <w:tab/>
      </w:r>
      <w:r>
        <w:fldChar w:fldCharType="begin"/>
      </w:r>
      <w:r>
        <w:instrText xml:space="preserve"> PAGEREF _Toc23231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4B9F1ED2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_Toc25054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（三）考试要求</w:t>
      </w:r>
      <w:r>
        <w:tab/>
      </w:r>
      <w:r>
        <w:fldChar w:fldCharType="begin"/>
      </w:r>
      <w:r>
        <w:instrText xml:space="preserve"> PAGEREF _Toc25054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1F5CF767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_Toc26200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6"/>
          <w:lang w:val="en-US" w:eastAsia="zh-CN"/>
        </w:rPr>
        <w:t>二． 人工智能实验课学习说明</w:t>
      </w:r>
      <w:r>
        <w:tab/>
      </w:r>
      <w:r>
        <w:fldChar w:fldCharType="begin"/>
      </w:r>
      <w:r>
        <w:instrText xml:space="preserve"> PAGEREF _Toc26200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2F62CA5A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_Toc26777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（一）学习方式</w:t>
      </w:r>
      <w:r>
        <w:tab/>
      </w:r>
      <w:r>
        <w:fldChar w:fldCharType="begin"/>
      </w:r>
      <w:r>
        <w:instrText xml:space="preserve"> PAGEREF _Toc26777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5376BC3A">
      <w:pPr>
        <w:pStyle w:val="9"/>
        <w:tabs>
          <w:tab w:val="right" w:leader="dot" w:pos="9072"/>
        </w:tabs>
      </w:pPr>
      <w:r>
        <w:rPr>
          <w:rFonts w:hint="eastAsia" w:ascii="宋体" w:hAnsi="宋体" w:eastAsia="宋体" w:cs="宋体"/>
          <w:szCs w:val="28"/>
        </w:rPr>
        <w:fldChar w:fldCharType="begin"/>
      </w:r>
      <w:r>
        <w:rPr>
          <w:rFonts w:hint="eastAsia" w:ascii="宋体" w:hAnsi="宋体" w:eastAsia="宋体" w:cs="宋体"/>
          <w:szCs w:val="28"/>
        </w:rPr>
        <w:instrText xml:space="preserve"> HYPERLINK \l _Toc23352 </w:instrText>
      </w:r>
      <w:r>
        <w:rPr>
          <w:rFonts w:hint="eastAsia" w:ascii="宋体" w:hAnsi="宋体" w:eastAsia="宋体" w:cs="宋体"/>
          <w:szCs w:val="28"/>
        </w:rPr>
        <w:fldChar w:fldCharType="separate"/>
      </w:r>
      <w:r>
        <w:rPr>
          <w:rFonts w:hint="eastAsia" w:ascii="微软雅黑" w:hAnsi="微软雅黑" w:eastAsia="微软雅黑" w:cs="微软雅黑"/>
          <w:bCs/>
          <w:szCs w:val="32"/>
          <w:lang w:val="en-US" w:eastAsia="zh-CN"/>
        </w:rPr>
        <w:t>（二）实验方式</w:t>
      </w:r>
      <w:r>
        <w:tab/>
      </w:r>
      <w:r>
        <w:fldChar w:fldCharType="begin"/>
      </w:r>
      <w:r>
        <w:instrText xml:space="preserve"> PAGEREF _Toc23352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宋体" w:hAnsi="宋体" w:eastAsia="宋体" w:cs="宋体"/>
          <w:szCs w:val="28"/>
        </w:rPr>
        <w:fldChar w:fldCharType="end"/>
      </w:r>
    </w:p>
    <w:p w14:paraId="7A9C1192">
      <w:pPr>
        <w:sectPr>
          <w:headerReference r:id="rId4" w:type="default"/>
          <w:footerReference r:id="rId5" w:type="default"/>
          <w:pgSz w:w="11906" w:h="16838"/>
          <w:pgMar w:top="1417" w:right="1417" w:bottom="1417" w:left="141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szCs w:val="28"/>
        </w:rPr>
        <w:fldChar w:fldCharType="end"/>
      </w:r>
    </w:p>
    <w:p w14:paraId="13C0CBE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bookmarkStart w:id="0" w:name="_Toc6274"/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手机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端</w:t>
      </w:r>
      <w:bookmarkEnd w:id="0"/>
    </w:p>
    <w:p w14:paraId="45D776F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ascii="微软雅黑" w:hAnsi="微软雅黑" w:eastAsia="微软雅黑" w:cs="微软雅黑"/>
          <w:b/>
          <w:bCs/>
          <w:sz w:val="28"/>
          <w:szCs w:val="28"/>
        </w:rPr>
      </w:pPr>
      <w:bookmarkStart w:id="1" w:name="_Toc13643"/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下载“学习通”</w:t>
      </w:r>
      <w:bookmarkEnd w:id="1"/>
    </w:p>
    <w:p w14:paraId="3E5A1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微软雅黑" w:hAnsi="微软雅黑" w:eastAsia="微软雅黑" w:cs="微软雅黑"/>
          <w:sz w:val="24"/>
        </w:rPr>
      </w:pPr>
      <w:r>
        <w:rPr>
          <w:rFonts w:hint="eastAsia" w:ascii="宋体" w:hAnsi="宋体" w:eastAsia="宋体" w:cs="宋体"/>
          <w:sz w:val="28"/>
          <w:szCs w:val="28"/>
        </w:rPr>
        <w:t>手机端学习尔雅通识课需使用“学习通”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App</w:t>
      </w:r>
      <w:r>
        <w:rPr>
          <w:rFonts w:hint="eastAsia" w:ascii="宋体" w:hAnsi="宋体" w:eastAsia="宋体" w:cs="宋体"/>
          <w:sz w:val="28"/>
          <w:szCs w:val="28"/>
        </w:rPr>
        <w:t xml:space="preserve">，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用户</w:t>
      </w:r>
      <w:r>
        <w:rPr>
          <w:rFonts w:hint="eastAsia" w:ascii="宋体" w:hAnsi="宋体" w:eastAsia="宋体" w:cs="宋体"/>
          <w:sz w:val="28"/>
          <w:szCs w:val="28"/>
        </w:rPr>
        <w:t>可在【App Store】或【应用市场】中搜索“学习通”下载。</w:t>
      </w:r>
    </w:p>
    <w:p w14:paraId="28BA3B4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bookmarkStart w:id="2" w:name="_Toc13639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登录及注册绑定</w:t>
      </w:r>
      <w:bookmarkEnd w:id="2"/>
    </w:p>
    <w:p w14:paraId="19C2C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之前已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在学习通绑定过本校学号及手机号的用户</w:t>
      </w:r>
      <w:r>
        <w:rPr>
          <w:rFonts w:hint="eastAsia" w:ascii="宋体" w:hAnsi="宋体" w:eastAsia="宋体" w:cs="宋体"/>
          <w:sz w:val="28"/>
          <w:szCs w:val="28"/>
        </w:rPr>
        <w:t>，请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使用</w:t>
      </w:r>
      <w:r>
        <w:rPr>
          <w:rFonts w:hint="eastAsia" w:ascii="宋体" w:hAnsi="宋体" w:eastAsia="宋体" w:cs="宋体"/>
          <w:sz w:val="28"/>
          <w:szCs w:val="28"/>
        </w:rPr>
        <w:t>自己的手机号及密码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或验证码）</w:t>
      </w:r>
      <w:r>
        <w:rPr>
          <w:rFonts w:hint="eastAsia" w:ascii="宋体" w:hAnsi="宋体" w:eastAsia="宋体" w:cs="宋体"/>
          <w:sz w:val="28"/>
          <w:szCs w:val="28"/>
        </w:rPr>
        <w:t>在学习通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App</w:t>
      </w:r>
      <w:r>
        <w:rPr>
          <w:rFonts w:hint="eastAsia" w:ascii="宋体" w:hAnsi="宋体" w:eastAsia="宋体" w:cs="宋体"/>
          <w:sz w:val="28"/>
          <w:szCs w:val="28"/>
        </w:rPr>
        <w:t>中登录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初次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使用学习通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用户</w:t>
      </w:r>
      <w:r>
        <w:rPr>
          <w:rFonts w:hint="eastAsia" w:ascii="宋体" w:hAnsi="宋体" w:eastAsia="宋体" w:cs="宋体"/>
          <w:sz w:val="28"/>
          <w:szCs w:val="28"/>
        </w:rPr>
        <w:t>请按以下步骤进行注册：</w:t>
      </w:r>
    </w:p>
    <w:p w14:paraId="0CCD8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打开“学习通”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点击“新用户注册”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根据提示，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将</w:t>
      </w:r>
      <w:r>
        <w:rPr>
          <w:rFonts w:hint="eastAsia" w:ascii="宋体" w:hAnsi="宋体" w:eastAsia="宋体" w:cs="宋体"/>
          <w:sz w:val="28"/>
          <w:szCs w:val="28"/>
        </w:rPr>
        <w:t>自己的手机号进行注册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绑定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（注意：正确将手机和学校信息绑定后方能正常学习，单位验证时在单位填写处搜本校UC码：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lang w:val="en-US" w:eastAsia="zh-CN"/>
        </w:rPr>
        <w:t>146689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，待学校信息弹出后选择即可，请勿跳过）</w:t>
      </w:r>
      <w:r>
        <w:rPr>
          <w:rFonts w:hint="eastAsia" w:ascii="宋体" w:hAnsi="宋体" w:eastAsia="宋体" w:cs="宋体"/>
          <w:sz w:val="28"/>
          <w:szCs w:val="28"/>
        </w:rPr>
        <w:t>；如有疑问请点击右上角“客服”按钮寻求帮助。</w:t>
      </w:r>
    </w:p>
    <w:p w14:paraId="2896947C">
      <w:pPr>
        <w:pStyle w:val="4"/>
        <w:jc w:val="center"/>
      </w:pPr>
      <w:r>
        <w:drawing>
          <wp:inline distT="0" distB="0" distL="114300" distR="114300">
            <wp:extent cx="2950210" cy="2745105"/>
            <wp:effectExtent l="0" t="0" r="254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0210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7315" cy="2843530"/>
            <wp:effectExtent l="0" t="0" r="63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51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习通登录后，请再次检查账号绑定情况。请点击学习通右下角【我】-【设置】-【账号管理】-【绑定单位】查看学校和学号绑定情况。若页面中出现学校名称及当前使用学号，则代表手机号与学号已成功绑定。需强调的是，由于课程成绩归属以学号为准，专升本用户、校内学号有变更的用户，请务必将目前使用的学号与手机号绑定。若未出现相关信息，请点击下方【添加单位】进行学号添加，添加学号后请左滑最新单位信息设置其为显示单位。待信息完善后方可选课。</w:t>
      </w:r>
    </w:p>
    <w:p w14:paraId="74EE85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3" w:name="_Toc4667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学习课程</w:t>
      </w:r>
      <w:bookmarkEnd w:id="3"/>
    </w:p>
    <w:p w14:paraId="7F140F10">
      <w:pPr>
        <w:pStyle w:val="17"/>
        <w:outlineLvl w:val="9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点击【我】进入【课程】标签，课程在【我学的课】下。首次进入课程，系统会提示课程的学习、考试时间及课程权重设置。在学校规定的学习时间内，用户可根据自己的安排，进入课程打开章节列表完成各课程任务点（视频+章节测验）的学习，并在考试时间内完成考试。</w:t>
      </w:r>
      <w:r>
        <w:rPr>
          <w:rFonts w:hint="eastAsia" w:ascii="宋体" w:hAnsi="宋体" w:eastAsia="宋体" w:cs="宋体"/>
          <w:color w:val="FF0000"/>
          <w:kern w:val="2"/>
          <w:sz w:val="28"/>
          <w:szCs w:val="28"/>
          <w:lang w:val="en-US" w:eastAsia="zh-CN" w:bidi="ar-SA"/>
        </w:rPr>
        <w:t>（超出规定时间的学习和考试成绩将不被记录）。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需注意，考试有任务点完成要求，需要关注学习通知和系统提示，以免无法考试（下图为示例）。</w:t>
      </w:r>
    </w:p>
    <w:p w14:paraId="3AD63083">
      <w:pPr>
        <w:pStyle w:val="17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3724275" cy="2190115"/>
            <wp:effectExtent l="0" t="0" r="9525" b="63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19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2449830" cy="3346450"/>
            <wp:effectExtent l="0" t="0" r="7620" b="635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20595" cy="3373755"/>
            <wp:effectExtent l="0" t="0" r="8255" b="1714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4904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4" w:name="_Toc1232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App端在线客服</w:t>
      </w:r>
      <w:bookmarkEnd w:id="4"/>
    </w:p>
    <w:p w14:paraId="6DB64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5" w:name="_Toc6119_WPSOffice_Level2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如在使用过程中遇到问题，可在设置模块内选择帮助中心，自行查找操作指南或联系右上角在线客服寻求帮助</w:t>
      </w:r>
      <w:bookmarkEnd w:id="5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699EE145">
      <w:pPr>
        <w:pStyle w:val="17"/>
        <w:ind w:left="0" w:leftChars="0" w:firstLine="0" w:firstLineChars="0"/>
        <w:jc w:val="center"/>
        <w:rPr>
          <w:rFonts w:hint="eastAsia"/>
          <w:lang w:val="en-US" w:eastAsia="zh-CN"/>
        </w:rPr>
        <w:sectPr>
          <w:headerReference r:id="rId6" w:type="default"/>
          <w:footerReference r:id="rId7" w:type="default"/>
          <w:pgSz w:w="11906" w:h="16838"/>
          <w:pgMar w:top="1417" w:right="1417" w:bottom="1417" w:left="141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2969260</wp:posOffset>
                </wp:positionV>
                <wp:extent cx="1605915" cy="290830"/>
                <wp:effectExtent l="19050" t="19050" r="32385" b="33020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915" cy="2908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95pt;margin-top:233.8pt;height:22.9pt;width:126.45pt;z-index:251660288;v-text-anchor:middle;mso-width-relative:page;mso-height-relative:page;" filled="f" stroked="t" coordsize="21600,21600" o:gfxdata="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EizW93YAAAACgEAAA8AAAAAAAAAAQAgAAAAIgAAAGRycy9kb3ducmV2&#10;LnhtbFBLAQIUABQAAAAIAIdO4kCBwelbbgIAAM0EAAAOAAAAAAAAAAEAIAAAACcBAABkcnMvZTJv&#10;RG9jLnhtbFBLBQYAAAAABgAGAFkBAAAHBgAAAAA=&#10;">
                <v:fill on="f" focussize="0,0"/>
                <v:stroke weight="3pt" color="#FF0000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drawing>
          <wp:inline distT="0" distB="0" distL="114300" distR="114300">
            <wp:extent cx="2536190" cy="3477895"/>
            <wp:effectExtent l="0" t="0" r="16510" b="8255"/>
            <wp:docPr id="6" name="图片 6" descr="b123e0de2185d5315b4e4a4bf9e47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123e0de2185d5315b4e4a4bf9e47dd"/>
                    <pic:cNvPicPr>
                      <a:picLocks noChangeAspect="1"/>
                    </pic:cNvPicPr>
                  </pic:nvPicPr>
                  <pic:blipFill>
                    <a:blip r:embed="rId15"/>
                    <a:srcRect l="1479" t="5129" r="-1479" b="31515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drawing>
          <wp:inline distT="0" distB="0" distL="114300" distR="114300">
            <wp:extent cx="2787015" cy="3498850"/>
            <wp:effectExtent l="0" t="0" r="13335" b="6350"/>
            <wp:docPr id="8" name="图片 8" descr="7044b084f9d9853a7b3a7e84f4c4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044b084f9d9853a7b3a7e84f4c4704"/>
                    <pic:cNvPicPr>
                      <a:picLocks noChangeAspect="1"/>
                    </pic:cNvPicPr>
                  </pic:nvPicPr>
                  <pic:blipFill>
                    <a:blip r:embed="rId16"/>
                    <a:srcRect t="4227" b="37789"/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B5B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6" w:name="_Toc28718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网页端</w:t>
      </w:r>
      <w:bookmarkEnd w:id="6"/>
    </w:p>
    <w:p w14:paraId="7109253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7" w:name="_Toc1646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登录及注册绑定</w:t>
      </w:r>
      <w:bookmarkEnd w:id="7"/>
    </w:p>
    <w:p w14:paraId="71496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网页</w:t>
      </w:r>
      <w:r>
        <w:rPr>
          <w:rFonts w:hint="eastAsia" w:ascii="宋体" w:hAnsi="宋体" w:eastAsia="宋体" w:cs="宋体"/>
          <w:sz w:val="28"/>
          <w:szCs w:val="28"/>
        </w:rPr>
        <w:t>端学习尔雅通识课，在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电脑</w:t>
      </w:r>
      <w:r>
        <w:rPr>
          <w:rFonts w:hint="eastAsia" w:ascii="宋体" w:hAnsi="宋体" w:eastAsia="宋体" w:cs="宋体"/>
          <w:sz w:val="28"/>
          <w:szCs w:val="28"/>
        </w:rPr>
        <w:t>浏览器中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输入</w:t>
      </w:r>
      <w:r>
        <w:rPr>
          <w:rFonts w:hint="eastAsia" w:ascii="宋体" w:hAnsi="宋体" w:eastAsia="宋体" w:cs="宋体"/>
          <w:sz w:val="28"/>
          <w:szCs w:val="28"/>
        </w:rPr>
        <w:t>本校网址：</w:t>
      </w:r>
    </w:p>
    <w:p w14:paraId="35E53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lang w:eastAsia="zh-CN"/>
        </w:rPr>
        <w:t>https://zzgs.mh.chaoxing.com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点击“登录”后，之前未绑定学号及学校信息的同学可选择新用户注册，根据系统提示绑定个人信息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（注意：正确将手机和学校信息绑定后方能正常学习，单位验证时在单位填写处搜本校UC码：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lang w:val="en-US" w:eastAsia="zh-CN"/>
        </w:rPr>
        <w:t>146689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，待学校信息弹出后选择即可，请勿跳过）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7AE41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若之前已在学习通App注册过账号，请使用自己的账号密码或学习通扫码进行登录。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（注意：为保证良好的兼容性及使用体验，请避免使用IE内核的浏览器。）</w:t>
      </w:r>
    </w:p>
    <w:p w14:paraId="0485142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88330" cy="3344545"/>
            <wp:effectExtent l="0" t="0" r="7620" b="8255"/>
            <wp:docPr id="17" name="图片 17" descr="b2918cfdcfd8b92296fdf2480e0bf6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2918cfdcfd8b92296fdf2480e0bf6f4"/>
                    <pic:cNvPicPr>
                      <a:picLocks noChangeAspect="1"/>
                    </pic:cNvPicPr>
                  </pic:nvPicPr>
                  <pic:blipFill>
                    <a:blip r:embed="rId17"/>
                    <a:srcRect t="3469" b="7657"/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95CCA">
      <w:pPr>
        <w:jc w:val="center"/>
      </w:pPr>
    </w:p>
    <w:p w14:paraId="3EAA801E">
      <w:pPr>
        <w:jc w:val="center"/>
      </w:pPr>
    </w:p>
    <w:p w14:paraId="04FD16AE">
      <w:pPr>
        <w:jc w:val="center"/>
      </w:pPr>
    </w:p>
    <w:p w14:paraId="5E50476F">
      <w:pPr>
        <w:numPr>
          <w:ilvl w:val="0"/>
          <w:numId w:val="0"/>
        </w:numPr>
        <w:jc w:val="center"/>
        <w:rPr>
          <w:rFonts w:hint="eastAsia"/>
        </w:rPr>
      </w:pPr>
    </w:p>
    <w:p w14:paraId="319C7EE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8" w:name="_Toc5520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学习课程</w:t>
      </w:r>
      <w:bookmarkEnd w:id="8"/>
    </w:p>
    <w:p w14:paraId="7E3D6D15">
      <w:pPr>
        <w:numPr>
          <w:ilvl w:val="0"/>
          <w:numId w:val="0"/>
        </w:numPr>
        <w:ind w:leftChars="0" w:firstLine="560" w:firstLineChars="200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进入课程模块，课程会出现在课程模块内。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首次进入课程，系统会提示课程的学习、考试时间及课程权重设置。在学校规定的学习时间内，用户可根据自己的安排，进入课程打开章节列表完成各课程任务点（视频+章节测验）的学习，并在考试时间内完成考试。</w:t>
      </w:r>
      <w:r>
        <w:rPr>
          <w:rFonts w:hint="eastAsia" w:ascii="宋体" w:hAnsi="宋体" w:eastAsia="宋体" w:cs="宋体"/>
          <w:color w:val="FF0000"/>
          <w:kern w:val="2"/>
          <w:sz w:val="28"/>
          <w:szCs w:val="28"/>
          <w:lang w:val="en-US" w:eastAsia="zh-CN" w:bidi="ar-SA"/>
        </w:rPr>
        <w:t>（超出规定时间的学习和考试成绩将不被记录）。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需注意，考试有任务点完成要求，需要关注学习通知和系统提示，以免无法考试（下图为示例）。</w:t>
      </w:r>
    </w:p>
    <w:p w14:paraId="67F55D6F">
      <w:pPr>
        <w:jc w:val="center"/>
        <w:outlineLvl w:val="9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bookmarkStart w:id="19" w:name="_GoBack"/>
      <w:r>
        <w:drawing>
          <wp:inline distT="0" distB="0" distL="114300" distR="114300">
            <wp:extent cx="4841875" cy="5826760"/>
            <wp:effectExtent l="0" t="0" r="15875" b="254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rcRect r="6877"/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582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9"/>
    </w:p>
    <w:p w14:paraId="2CB540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ascii="微软雅黑" w:hAnsi="微软雅黑" w:eastAsia="微软雅黑" w:cs="微软雅黑"/>
          <w:b/>
          <w:bCs/>
          <w:sz w:val="36"/>
          <w:szCs w:val="36"/>
        </w:rPr>
      </w:pPr>
      <w:bookmarkStart w:id="9" w:name="_Toc8629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注意事项</w:t>
      </w:r>
      <w:bookmarkEnd w:id="9"/>
    </w:p>
    <w:p w14:paraId="01FAB7B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请在规定时间内完成学习与考试，规定日期内随时可以选课和学习，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超出学习时间和考试时间的学习及考试将不被记录学习行为和成绩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FDF7B7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请合理规划学习时间，按时按量完成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任务点占比</w:t>
      </w:r>
      <w:r>
        <w:rPr>
          <w:rFonts w:hint="eastAsia" w:ascii="宋体" w:hAnsi="宋体" w:eastAsia="宋体" w:cs="宋体"/>
          <w:sz w:val="28"/>
          <w:szCs w:val="28"/>
        </w:rPr>
        <w:t>，以免无法参加考试。</w:t>
      </w:r>
    </w:p>
    <w:p w14:paraId="06837AE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考试作答</w:t>
      </w:r>
      <w:r>
        <w:rPr>
          <w:rFonts w:hint="eastAsia" w:ascii="宋体" w:hAnsi="宋体" w:eastAsia="宋体" w:cs="宋体"/>
          <w:sz w:val="28"/>
          <w:szCs w:val="28"/>
        </w:rPr>
        <w:t>有时间限制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进入考试前请</w:t>
      </w:r>
      <w:r>
        <w:rPr>
          <w:rFonts w:hint="eastAsia" w:ascii="宋体" w:hAnsi="宋体" w:eastAsia="宋体" w:cs="宋体"/>
          <w:sz w:val="28"/>
          <w:szCs w:val="28"/>
        </w:rPr>
        <w:t>，做题时请注意。考试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进入后作答时间开启倒计时，</w:t>
      </w:r>
      <w:r>
        <w:rPr>
          <w:rFonts w:hint="eastAsia" w:ascii="宋体" w:hAnsi="宋体" w:eastAsia="宋体" w:cs="宋体"/>
          <w:sz w:val="28"/>
          <w:szCs w:val="28"/>
        </w:rPr>
        <w:t>期间退出考试，倒计时不会暂停。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请务必在考试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作答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时间内提交试卷，否则考试将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自动提交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AB427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629275" cy="2945130"/>
            <wp:effectExtent l="0" t="0" r="0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rcRect l="3170" t="9618" r="5287" b="4763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6C13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系统配置防作弊系统，首次观看视频时，无法进行拖拽进度条、快进、倍速播放等操作，且需保持播放窗口为活动窗口，鼠标在该播放窗口内，否则视频将暂停播放。</w:t>
      </w:r>
    </w:p>
    <w:p w14:paraId="30B8C2C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系统配备学习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异常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监测系统，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每天夜间复核学生当日学习情况，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若监测到学生使用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异常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方式学习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如IP异常、完成任务点时长异常、使用插件等）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，将会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回滚问题章节学习进度，学习成绩产生变化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，请诚信学习。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建议结课前再次登录课程，查看成绩。如成绩回滚，在课程学习结束前可继续学习。</w:t>
      </w:r>
    </w:p>
    <w:p w14:paraId="75D54B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10" w:name="_Toc793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常见问题</w:t>
      </w:r>
      <w:bookmarkEnd w:id="10"/>
    </w:p>
    <w:p w14:paraId="75F60113">
      <w:pPr>
        <w:numPr>
          <w:ilvl w:val="0"/>
          <w:numId w:val="5"/>
        </w:numPr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学习时间及考试时间</w:t>
      </w:r>
    </w:p>
    <w:p w14:paraId="04CC48C3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学习时间及考试时间由学校规定，请关注学校通知和学习通系统发放的学习及考试通知。请在规定时间内进行学习和考试，超出学习时间和考试时间的学习及考试将不被记录学习行为和成绩。</w:t>
      </w:r>
    </w:p>
    <w:p w14:paraId="36E1544E">
      <w:pPr>
        <w:numPr>
          <w:ilvl w:val="0"/>
          <w:numId w:val="5"/>
        </w:num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视频无法播放或卡顿</w:t>
      </w:r>
    </w:p>
    <w:p w14:paraId="45209722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若出现视频无法播放或卡顿，请点击播放窗口上的线路按钮，尝试切换“公网1”、“公网2”、等不同线路，选择较为顺畅的线路进行播放，如仍不流畅请尝试切换网络、清理浏览器缓存、更换浏览器等操作。</w:t>
      </w:r>
    </w:p>
    <w:p w14:paraId="6F1990C1">
      <w:pPr>
        <w:numPr>
          <w:ilvl w:val="0"/>
          <w:numId w:val="5"/>
        </w:num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总成绩如何计算</w:t>
      </w:r>
    </w:p>
    <w:p w14:paraId="6203A78E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总成绩＝视频成绩×考核比例＋测验成绩×考核比例＋考试成绩×考核比例，如果有其他考核比例，如课堂互动，访问数等，则总成绩需在上述计算方法的基础上加上其他考核比例的换算成绩。总成绩≥60分为合格，学生可随时查看自己的学习进度及成绩。</w:t>
      </w:r>
    </w:p>
    <w:p w14:paraId="1DC044A4">
      <w:pPr>
        <w:numPr>
          <w:ilvl w:val="0"/>
          <w:numId w:val="5"/>
        </w:num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学习方式</w:t>
      </w:r>
    </w:p>
    <w:p w14:paraId="0CEF118B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线课程在手机端及网页端皆可学习，且学习记录互通，学生可灵活选择学习方式进行学习。但两种学习方式不可同时使用，即在同一时间，一边在网页端进行学习，一边在手机端进行学习，否则可能出现一端被迫下线等后果。</w:t>
      </w:r>
    </w:p>
    <w:p w14:paraId="3D30B4B3">
      <w:pPr>
        <w:numPr>
          <w:ilvl w:val="0"/>
          <w:numId w:val="5"/>
        </w:num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在线帮助</w:t>
      </w:r>
    </w:p>
    <w:p w14:paraId="5B603FB1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pgSz w:w="11906" w:h="16838"/>
          <w:pgMar w:top="1417" w:right="1417" w:bottom="1417" w:left="141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遇到其他无法解决的问题可以联系在线客服，电脑端学习页面“在线客服”，或登录手机客户端“我的”中点击客服进行问题咨询。</w:t>
      </w:r>
    </w:p>
    <w:p w14:paraId="31396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11" w:name="_Toc30244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附件</w:t>
      </w:r>
      <w:bookmarkEnd w:id="11"/>
    </w:p>
    <w:p w14:paraId="4271528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12" w:name="_Toc7497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广场课学习方式及注意事项</w:t>
      </w:r>
      <w:bookmarkEnd w:id="12"/>
    </w:p>
    <w:p w14:paraId="34F0E8E6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进一步扩充在线学习资源，满足不同专业背景、学习兴趣的同学们的个性化需求，超星尔雅推出通识教育广场课这一全新学习形式。通识广场课学习方法与传统课程略有不同，以下课程为通识广场课列表，如你所选课程为以下课程，则代表课程为通识广场课，请参考通识广场课学习方法学习，具体学习说明见下方说明。</w:t>
      </w:r>
    </w:p>
    <w:p w14:paraId="10D7F9F2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831465" cy="5403850"/>
            <wp:effectExtent l="0" t="0" r="6985" b="6350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DB2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13" w:name="_Toc5432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（一）学习及考核要求</w:t>
      </w:r>
      <w:bookmarkEnd w:id="13"/>
    </w:p>
    <w:p w14:paraId="189FF951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广场课程的选课方式及查看路径与传统课程一致，学习页面和记分规则略有不同。课程的成绩由平时学习与期末考试两部分构成，综合成绩为百分制，所占总成绩权重根据学校要求来设定。下图为广场课示例图：</w:t>
      </w:r>
    </w:p>
    <w:p w14:paraId="2EAEE700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503170" cy="3283585"/>
            <wp:effectExtent l="0" t="0" r="11430" b="12065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rcRect t="5751" b="3905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ECD07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690870" cy="3574415"/>
            <wp:effectExtent l="0" t="0" r="5080" b="698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rcRect r="5713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058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textAlignment w:val="auto"/>
        <w:outlineLvl w:val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14" w:name="_Toc23231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（二）学习规则</w:t>
      </w:r>
      <w:bookmarkEnd w:id="14"/>
    </w:p>
    <w:p w14:paraId="22B03294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场课程的平时学习实行积分制，积分要求的学习行为均会被系统记录积分。当学生总积分达到规定时，将获得除考试分外的其余分数。例：当考试成绩权重为30％，学校要求学生积分达到800时满足要求，学生即可获得综合成绩中的70分。学生需要进入课程内的【积分规则】模块内查看课程的积分要求细则，此页面内也可随时查看每日积分、累计积分。</w:t>
      </w:r>
    </w:p>
    <w:p w14:paraId="76B96FBD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869305" cy="4334510"/>
            <wp:effectExtent l="0" t="0" r="0" b="0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rcRect t="70" r="3102" b="2622"/>
                    <a:stretch>
                      <a:fillRect/>
                    </a:stretch>
                  </pic:blipFill>
                  <pic:spPr>
                    <a:xfrm>
                      <a:off x="0" y="0"/>
                      <a:ext cx="5869305" cy="433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C9BF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时学习任务包括“必学知识点”和“选学知识点”。每门广场课程均设有“必学知识点”列表，为该门课程核心学习内容，包含视频、阅读、测评等学习要素，需选课学生全部完成。完成“必学知识点”学习后，如未达到课程规定的积分要求，可自由选择学习其他知识点，作为“选学知识点”纳入积分统计。</w:t>
      </w:r>
    </w:p>
    <w:p w14:paraId="0A00EDDA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600700" cy="2637155"/>
            <wp:effectExtent l="0" t="0" r="0" b="10795"/>
            <wp:docPr id="3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rcRect l="2914" t="8039" r="4237" b="542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CD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textAlignment w:val="auto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5" w:name="_Toc25054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（三）考试要求</w:t>
      </w:r>
      <w:bookmarkEnd w:id="15"/>
    </w:p>
    <w:p w14:paraId="2DB6E312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完成平时学习后，需按要求参加期末考试。所有期末考试题均来自“必学知识点”的视频、阅读、测评内容。非有效期内的学习及考试行为，不纳入积分统计。</w:t>
      </w:r>
    </w:p>
    <w:p w14:paraId="4FD7A0E4">
      <w:pPr>
        <w:jc w:val="center"/>
        <w:rPr>
          <w:rFonts w:hint="eastAsia" w:ascii="宋体" w:hAnsi="宋体" w:cs="宋体"/>
          <w:b/>
          <w:kern w:val="0"/>
          <w:sz w:val="24"/>
        </w:rPr>
      </w:pPr>
      <w:r>
        <w:drawing>
          <wp:inline distT="0" distB="0" distL="114300" distR="114300">
            <wp:extent cx="5681345" cy="3663950"/>
            <wp:effectExtent l="0" t="0" r="0" b="0"/>
            <wp:docPr id="3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rcRect r="7601" b="12971"/>
                    <a:stretch>
                      <a:fillRect/>
                    </a:stretch>
                  </pic:blipFill>
                  <pic:spPr>
                    <a:xfrm>
                      <a:off x="0" y="0"/>
                      <a:ext cx="5681345" cy="366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5467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16" w:name="_Toc26200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人工智能实验课学习说明</w:t>
      </w:r>
      <w:bookmarkEnd w:id="16"/>
    </w:p>
    <w:p w14:paraId="034F7A18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为进一步提升学生AI动手实践能力，超星尔雅部分课程联合阿里云，相较传统课程增加了【AI实验】模块，学生可在实验模块中进行AI实验操作，获得对应成绩，并计入总成绩中，具体学习说明如下。</w:t>
      </w:r>
    </w:p>
    <w:p w14:paraId="0E05E0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textAlignment w:val="auto"/>
        <w:outlineLvl w:val="0"/>
        <w:rPr>
          <w:rFonts w:hint="default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17" w:name="_Toc26777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（一）学习方式</w:t>
      </w:r>
      <w:bookmarkEnd w:id="17"/>
    </w:p>
    <w:p w14:paraId="7C94C563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AI实验课程除课程内增加了实验模块外，其他操作均与传统课程一致。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实验只可在网页端进行，学习通App暂无法支持实验完成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学生可查看课程权重设置，查看实验权重是否纳入考核范围内，如实验占成绩权重，则代表实验占总分的一定分值。由于课程AI实验模块来自于阿里云平台，学生进入课程后，需要详细阅读章节1.1的内容，根据系统提示，进入阿里云平台认证学籍信息，获取免费算力券。</w:t>
      </w:r>
    </w:p>
    <w:p w14:paraId="2EF7A617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734050" cy="3796665"/>
            <wp:effectExtent l="0" t="0" r="0" b="13335"/>
            <wp:docPr id="3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rcRect b="4059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9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377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textAlignment w:val="auto"/>
        <w:outlineLvl w:val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18" w:name="_Toc23352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（二）实验方式</w:t>
      </w:r>
      <w:bookmarkEnd w:id="18"/>
    </w:p>
    <w:p w14:paraId="35056606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时学习需要根据课程要求，完成对应任务点的学习，完成视频和章节测验后，可进入AI实验模块进行实验实操。一共六个实验，学生可按照实验界面操作步骤完成实验，获得对应分数。实验完成后可参加在线考试，完成课程学习。</w:t>
      </w:r>
    </w:p>
    <w:p w14:paraId="5F7C7FE6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610225" cy="2727325"/>
            <wp:effectExtent l="0" t="0" r="9525" b="15875"/>
            <wp:docPr id="3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rcRect l="1854" r="7937" b="14223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97A7B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593080" cy="3415665"/>
            <wp:effectExtent l="0" t="0" r="7620" b="13335"/>
            <wp:docPr id="3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1417" w:bottom="1417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F3BFB">
    <w:pPr>
      <w:pStyle w:val="7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D94B3">
    <w:pPr>
      <w:pStyle w:val="7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4" name="文本框 1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9EAB1F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naPqktAgAAWQ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AnaPqktAgAAWQ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9EAB1F">
                    <w:pPr>
                      <w:pStyle w:val="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937B7">
    <w:pPr>
      <w:pStyle w:val="8"/>
      <w:jc w:val="center"/>
      <w:rPr>
        <w:rFonts w:hint="eastAsia" w:ascii="微软雅黑" w:hAnsi="微软雅黑" w:eastAsia="微软雅黑" w:cs="微软雅黑"/>
        <w:color w:val="535353" w:themeColor="accent3" w:themeShade="80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C58A6">
    <w:pPr>
      <w:pStyle w:val="8"/>
      <w:jc w:val="center"/>
      <w:rPr>
        <w:rFonts w:hint="eastAsia" w:ascii="微软雅黑" w:hAnsi="微软雅黑" w:eastAsia="微软雅黑" w:cs="微软雅黑"/>
        <w:color w:val="535353" w:themeColor="accent3" w:themeShade="80"/>
        <w:lang w:val="en-US"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4C3BC">
    <w:pPr>
      <w:pStyle w:val="8"/>
      <w:jc w:val="center"/>
      <w:rPr>
        <w:rFonts w:hint="eastAsia" w:ascii="微软雅黑" w:hAnsi="微软雅黑" w:eastAsia="微软雅黑" w:cs="微软雅黑"/>
        <w:color w:val="535353" w:themeColor="accent3" w:themeShade="80"/>
        <w:lang w:val="en-US" w:eastAsia="zh-CN"/>
      </w:rPr>
    </w:pPr>
    <w:r>
      <w:rPr>
        <w:rFonts w:hint="eastAsia" w:ascii="微软雅黑" w:hAnsi="微软雅黑" w:eastAsia="微软雅黑" w:cs="微软雅黑"/>
        <w:color w:val="535353" w:themeColor="accent3" w:themeShade="80"/>
        <w:lang w:eastAsia="zh-CN"/>
      </w:rPr>
      <w:t>【</w:t>
    </w:r>
    <w:r>
      <w:rPr>
        <w:rFonts w:hint="eastAsia" w:ascii="微软雅黑" w:hAnsi="微软雅黑" w:eastAsia="微软雅黑" w:cs="微软雅黑"/>
        <w:color w:val="535353" w:themeColor="accent3" w:themeShade="80"/>
        <w:lang w:val="en-US" w:eastAsia="zh-CN"/>
      </w:rPr>
      <w:t>学生版】超星尔雅通识课使用手册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A5A67C"/>
    <w:multiLevelType w:val="singleLevel"/>
    <w:tmpl w:val="82A5A67C"/>
    <w:lvl w:ilvl="0" w:tentative="0">
      <w:start w:val="1"/>
      <w:numFmt w:val="chineseCounting"/>
      <w:suff w:val="nothing"/>
      <w:lvlText w:val="%1．"/>
      <w:lvlJc w:val="left"/>
      <w:rPr>
        <w:rFonts w:hint="eastAsia"/>
        <w:sz w:val="36"/>
        <w:szCs w:val="36"/>
      </w:rPr>
    </w:lvl>
  </w:abstractNum>
  <w:abstractNum w:abstractNumId="1">
    <w:nsid w:val="B13B9302"/>
    <w:multiLevelType w:val="singleLevel"/>
    <w:tmpl w:val="B13B9302"/>
    <w:lvl w:ilvl="0" w:tentative="0">
      <w:start w:val="1"/>
      <w:numFmt w:val="chineseCounting"/>
      <w:suff w:val="nothing"/>
      <w:lvlText w:val="%1．"/>
      <w:lvlJc w:val="left"/>
      <w:rPr>
        <w:rFonts w:hint="eastAsia"/>
        <w:sz w:val="36"/>
        <w:szCs w:val="36"/>
      </w:rPr>
    </w:lvl>
  </w:abstractNum>
  <w:abstractNum w:abstractNumId="2">
    <w:nsid w:val="D15B9F3F"/>
    <w:multiLevelType w:val="singleLevel"/>
    <w:tmpl w:val="D15B9F3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FB7AC85"/>
    <w:multiLevelType w:val="singleLevel"/>
    <w:tmpl w:val="1FB7AC8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32"/>
        <w:szCs w:val="32"/>
      </w:rPr>
    </w:lvl>
  </w:abstractNum>
  <w:abstractNum w:abstractNumId="4">
    <w:nsid w:val="57A564E5"/>
    <w:multiLevelType w:val="singleLevel"/>
    <w:tmpl w:val="57A564E5"/>
    <w:lvl w:ilvl="0" w:tentative="0">
      <w:start w:val="1"/>
      <w:numFmt w:val="decimal"/>
      <w:suff w:val="space"/>
      <w:lvlText w:val="%1."/>
      <w:lvlJc w:val="left"/>
      <w:rPr>
        <w:rFonts w:hint="default"/>
        <w:sz w:val="30"/>
        <w:szCs w:val="30"/>
      </w:rPr>
    </w:lvl>
  </w:abstractNum>
  <w:abstractNum w:abstractNumId="5">
    <w:nsid w:val="68192EE3"/>
    <w:multiLevelType w:val="singleLevel"/>
    <w:tmpl w:val="68192EE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32"/>
        <w:szCs w:val="32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1M2I4ZTQ5ZDhlZjg4ZmMzMTE1ZTI3MTZjMmUyZDcifQ=="/>
    <w:docVar w:name="KSO_WPS_MARK_KEY" w:val="8dc444d0-c50e-40d3-8fc4-c7f6a8620a65"/>
  </w:docVars>
  <w:rsids>
    <w:rsidRoot w:val="247457D4"/>
    <w:rsid w:val="000019EF"/>
    <w:rsid w:val="000B1213"/>
    <w:rsid w:val="000E13A9"/>
    <w:rsid w:val="00294F4C"/>
    <w:rsid w:val="0058573A"/>
    <w:rsid w:val="00590295"/>
    <w:rsid w:val="005A4AA6"/>
    <w:rsid w:val="005F557E"/>
    <w:rsid w:val="00640005"/>
    <w:rsid w:val="006C5007"/>
    <w:rsid w:val="007C173F"/>
    <w:rsid w:val="0080110E"/>
    <w:rsid w:val="00833090"/>
    <w:rsid w:val="00911420"/>
    <w:rsid w:val="009215C5"/>
    <w:rsid w:val="00A54275"/>
    <w:rsid w:val="00AA4AB1"/>
    <w:rsid w:val="00B9332E"/>
    <w:rsid w:val="00BA3355"/>
    <w:rsid w:val="00C758FC"/>
    <w:rsid w:val="00DC05CD"/>
    <w:rsid w:val="00EC1366"/>
    <w:rsid w:val="00F00FB2"/>
    <w:rsid w:val="00FD200D"/>
    <w:rsid w:val="03306B96"/>
    <w:rsid w:val="04F54EFD"/>
    <w:rsid w:val="06A82E13"/>
    <w:rsid w:val="106E70F6"/>
    <w:rsid w:val="123434E0"/>
    <w:rsid w:val="14E168D9"/>
    <w:rsid w:val="168275FB"/>
    <w:rsid w:val="1AFA7DCE"/>
    <w:rsid w:val="1D635DC3"/>
    <w:rsid w:val="1DCF17CF"/>
    <w:rsid w:val="1F0E28D5"/>
    <w:rsid w:val="1F8A05EE"/>
    <w:rsid w:val="1F8D6BFE"/>
    <w:rsid w:val="1FC9015D"/>
    <w:rsid w:val="22893917"/>
    <w:rsid w:val="24582F57"/>
    <w:rsid w:val="247457D4"/>
    <w:rsid w:val="252862B9"/>
    <w:rsid w:val="27876518"/>
    <w:rsid w:val="28344544"/>
    <w:rsid w:val="284D5BB8"/>
    <w:rsid w:val="28D11930"/>
    <w:rsid w:val="29530F18"/>
    <w:rsid w:val="2AFD269F"/>
    <w:rsid w:val="2F0B0C0C"/>
    <w:rsid w:val="2F510A40"/>
    <w:rsid w:val="3057061E"/>
    <w:rsid w:val="30821A87"/>
    <w:rsid w:val="325C5FFC"/>
    <w:rsid w:val="340A44A4"/>
    <w:rsid w:val="36D61574"/>
    <w:rsid w:val="3A58614D"/>
    <w:rsid w:val="3B310E59"/>
    <w:rsid w:val="3D3A7CAB"/>
    <w:rsid w:val="3FD7698B"/>
    <w:rsid w:val="42AC47ED"/>
    <w:rsid w:val="42F501E9"/>
    <w:rsid w:val="462907DC"/>
    <w:rsid w:val="46A06F9E"/>
    <w:rsid w:val="47A97EE8"/>
    <w:rsid w:val="499253C3"/>
    <w:rsid w:val="4AF753D8"/>
    <w:rsid w:val="4E623127"/>
    <w:rsid w:val="4EDB0C83"/>
    <w:rsid w:val="536C7C4B"/>
    <w:rsid w:val="539379B5"/>
    <w:rsid w:val="56AC282F"/>
    <w:rsid w:val="56B5669F"/>
    <w:rsid w:val="59E52F9C"/>
    <w:rsid w:val="5C7E4C71"/>
    <w:rsid w:val="5F5B7F61"/>
    <w:rsid w:val="601E5517"/>
    <w:rsid w:val="60FC59C6"/>
    <w:rsid w:val="61C90396"/>
    <w:rsid w:val="63BB40D9"/>
    <w:rsid w:val="6862401C"/>
    <w:rsid w:val="696D0B26"/>
    <w:rsid w:val="697B3328"/>
    <w:rsid w:val="6BCD107C"/>
    <w:rsid w:val="6C792368"/>
    <w:rsid w:val="6C896E08"/>
    <w:rsid w:val="6EDD1472"/>
    <w:rsid w:val="6EED16EE"/>
    <w:rsid w:val="6FF73F2A"/>
    <w:rsid w:val="7151377E"/>
    <w:rsid w:val="723D44E6"/>
    <w:rsid w:val="735F75E2"/>
    <w:rsid w:val="73835465"/>
    <w:rsid w:val="750479C0"/>
    <w:rsid w:val="789367E2"/>
    <w:rsid w:val="7BC67EE8"/>
    <w:rsid w:val="7CFD169E"/>
    <w:rsid w:val="7ED02B69"/>
    <w:rsid w:val="7F93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44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rPr>
      <w:rFonts w:ascii="宋体" w:hAnsi="宋体" w:eastAsia="宋体" w:cs="宋体"/>
      <w:sz w:val="24"/>
      <w:lang w:val="zh-CN" w:bidi="zh-CN"/>
    </w:r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8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Normal (Web)"/>
    <w:basedOn w:val="1"/>
    <w:autoRedefine/>
    <w:qFormat/>
    <w:uiPriority w:val="0"/>
    <w:rPr>
      <w:sz w:val="24"/>
    </w:rPr>
  </w:style>
  <w:style w:type="paragraph" w:styleId="11">
    <w:name w:val="Body Text First Indent 2"/>
    <w:basedOn w:val="5"/>
    <w:autoRedefine/>
    <w:qFormat/>
    <w:uiPriority w:val="0"/>
    <w:pPr>
      <w:ind w:firstLine="420" w:firstLineChars="200"/>
    </w:p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WPSOffice手动目录 1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6">
    <w:name w:val="WPSOffice手动目录 2"/>
    <w:autoRedefine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17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8">
    <w:name w:val="批注框文本 Char"/>
    <w:basedOn w:val="13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极简几何风艺术课课课程介绍封面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15</Pages>
  <Words>3171</Words>
  <Characters>3245</Characters>
  <Lines>0</Lines>
  <Paragraphs>0</Paragraphs>
  <TotalTime>1</TotalTime>
  <ScaleCrop>false</ScaleCrop>
  <LinksUpToDate>false</LinksUpToDate>
  <CharactersWithSpaces>3277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2021-01-12T12:04:00Z</dcterms:created>
  <dc:creator>咕咕</dc:creator>
  <cp:lastModifiedBy>卜零卜零</cp:lastModifiedBy>
  <dcterms:modified xsi:type="dcterms:W3CDTF">2026-09-28T08:27:40Z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CDB26AFA2BEA456E8953CF9001845B49_13</vt:lpwstr>
  </property>
  <property fmtid="{D5CDD505-2E9C-101B-9397-08002B2CF9AE}" pid="4" name="KSOSaveFontToCloudKey">
    <vt:lpwstr>590610_btnclosed</vt:lpwstr>
  </property>
  <property fmtid="{D5CDD505-2E9C-101B-9397-08002B2CF9AE}" pid="5" name="KSOTemplateDocerSaveRecord">
    <vt:lpwstr>eyJoZGlkIjoiNjk2ODY3NzJjNDJiYWNlZmJjOTQ0NzQzYzZlYWJjYWUiLCJ1c2VySWQiOiI3OTY5MTk2NDUifQ==</vt:lpwstr>
  </property>
</Properties>
</file>