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3D925">
      <w:pPr>
        <w:spacing w:before="100" w:line="230" w:lineRule="auto"/>
        <w:rPr>
          <w:rFonts w:hint="eastAsia" w:ascii="黑体" w:hAnsi="黑体" w:eastAsia="黑体" w:cs="黑体"/>
          <w:sz w:val="31"/>
          <w:szCs w:val="31"/>
          <w:lang w:eastAsia="zh-CN"/>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hint="eastAsia" w:ascii="黑体" w:hAnsi="黑体" w:eastAsia="黑体" w:cs="黑体"/>
          <w:spacing w:val="-4"/>
          <w:sz w:val="31"/>
          <w:szCs w:val="31"/>
          <w:lang w:val="en-US" w:eastAsia="zh-CN"/>
        </w:rPr>
        <w:t>1</w:t>
      </w:r>
    </w:p>
    <w:p w14:paraId="41581363">
      <w:pPr>
        <w:spacing w:line="374" w:lineRule="auto"/>
        <w:rPr>
          <w:rFonts w:ascii="Arial"/>
          <w:sz w:val="21"/>
        </w:rPr>
      </w:pPr>
    </w:p>
    <w:p w14:paraId="6616CCEA">
      <w:pPr>
        <w:jc w:val="center"/>
        <w:rPr>
          <w:rFonts w:hint="eastAsia" w:ascii="黑体" w:hAnsi="黑体" w:eastAsia="黑体" w:cs="黑体"/>
          <w:sz w:val="36"/>
          <w:szCs w:val="36"/>
        </w:rPr>
      </w:pPr>
      <w:bookmarkStart w:id="0" w:name="_GoBack"/>
      <w:r>
        <w:rPr>
          <w:rFonts w:hint="eastAsia" w:ascii="黑体" w:hAnsi="黑体" w:eastAsia="黑体" w:cs="黑体"/>
          <w:sz w:val="36"/>
          <w:szCs w:val="36"/>
        </w:rPr>
        <w:t>2025年度河南省高等学校教学名师工作室教学名师培育对象遴选指标体系</w:t>
      </w:r>
    </w:p>
    <w:bookmarkEnd w:id="0"/>
    <w:p w14:paraId="73C86386">
      <w:pPr>
        <w:spacing w:line="158" w:lineRule="exact"/>
      </w:pPr>
    </w:p>
    <w:tbl>
      <w:tblPr>
        <w:tblStyle w:val="4"/>
        <w:tblW w:w="97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279"/>
        <w:gridCol w:w="500"/>
        <w:gridCol w:w="7371"/>
      </w:tblGrid>
      <w:tr w14:paraId="164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1860" w:type="dxa"/>
            <w:gridSpan w:val="2"/>
            <w:vAlign w:val="center"/>
          </w:tcPr>
          <w:p w14:paraId="73748E3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遴选项目</w:t>
            </w:r>
          </w:p>
        </w:tc>
        <w:tc>
          <w:tcPr>
            <w:tcW w:w="500" w:type="dxa"/>
            <w:textDirection w:val="tbRlV"/>
            <w:vAlign w:val="center"/>
          </w:tcPr>
          <w:p w14:paraId="4E2F0DA0">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 值</w:t>
            </w:r>
          </w:p>
        </w:tc>
        <w:tc>
          <w:tcPr>
            <w:tcW w:w="7371" w:type="dxa"/>
            <w:vAlign w:val="center"/>
          </w:tcPr>
          <w:p w14:paraId="0A1609D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遴选内容</w:t>
            </w:r>
          </w:p>
        </w:tc>
      </w:tr>
      <w:tr w14:paraId="22CD5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1860" w:type="dxa"/>
            <w:gridSpan w:val="2"/>
            <w:vAlign w:val="center"/>
          </w:tcPr>
          <w:p w14:paraId="419B0E63">
            <w:pPr>
              <w:jc w:val="center"/>
              <w:rPr>
                <w:rFonts w:hint="eastAsia" w:ascii="仿宋_GB2312" w:hAnsi="仿宋_GB2312" w:eastAsia="仿宋_GB2312" w:cs="仿宋_GB2312"/>
                <w:sz w:val="28"/>
                <w:szCs w:val="28"/>
              </w:rPr>
            </w:pPr>
          </w:p>
          <w:p w14:paraId="7E07830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1.师德风范</w:t>
            </w:r>
          </w:p>
        </w:tc>
        <w:tc>
          <w:tcPr>
            <w:tcW w:w="500" w:type="dxa"/>
            <w:vAlign w:val="center"/>
          </w:tcPr>
          <w:p w14:paraId="5AF5BA75">
            <w:pPr>
              <w:jc w:val="both"/>
              <w:rPr>
                <w:rFonts w:hint="eastAsia" w:ascii="仿宋_GB2312" w:hAnsi="仿宋_GB2312" w:eastAsia="仿宋_GB2312" w:cs="仿宋_GB2312"/>
                <w:sz w:val="28"/>
                <w:szCs w:val="28"/>
              </w:rPr>
            </w:pPr>
          </w:p>
          <w:p w14:paraId="01227FD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7371" w:type="dxa"/>
            <w:vAlign w:val="center"/>
          </w:tcPr>
          <w:p w14:paraId="1A70BD03">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忠诚党的教育事业</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全面贯彻党的教育方针</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大力弘扬和践行教育家精神</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为党育人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为国育才</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坚持立德树人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争做新时代“四有”好老师。爱国守法</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敬业爱生</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教书育人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严谨治学</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服务社会</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为人师表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坚持教书与育人相统一、言传与身教相统一、潜心问道与关注社会相统一、学术自由与学术规范相统一</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堪为大学生健康成长的指导者和引路人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无违反新时代高校教师职业行为十项准则的情况</w:t>
            </w:r>
          </w:p>
        </w:tc>
      </w:tr>
      <w:tr w14:paraId="1ACCD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581" w:type="dxa"/>
            <w:vMerge w:val="restart"/>
            <w:tcBorders>
              <w:bottom w:val="nil"/>
            </w:tcBorders>
            <w:vAlign w:val="center"/>
          </w:tcPr>
          <w:p w14:paraId="0FD6D3B9">
            <w:pPr>
              <w:jc w:val="both"/>
              <w:rPr>
                <w:rFonts w:hint="eastAsia" w:ascii="仿宋_GB2312" w:hAnsi="仿宋_GB2312" w:eastAsia="仿宋_GB2312" w:cs="仿宋_GB2312"/>
                <w:sz w:val="28"/>
                <w:szCs w:val="28"/>
              </w:rPr>
            </w:pPr>
          </w:p>
          <w:p w14:paraId="5B05D2EA">
            <w:pPr>
              <w:jc w:val="center"/>
              <w:rPr>
                <w:rFonts w:hint="eastAsia" w:ascii="仿宋_GB2312" w:hAnsi="仿宋_GB2312" w:eastAsia="仿宋_GB2312" w:cs="仿宋_GB2312"/>
                <w:sz w:val="28"/>
                <w:szCs w:val="28"/>
              </w:rPr>
            </w:pPr>
          </w:p>
          <w:p w14:paraId="09E4432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教</w:t>
            </w:r>
          </w:p>
          <w:p w14:paraId="1090A58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w:t>
            </w:r>
          </w:p>
          <w:p w14:paraId="658B321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w:t>
            </w:r>
          </w:p>
          <w:p w14:paraId="3494ACE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力</w:t>
            </w:r>
          </w:p>
          <w:p w14:paraId="4B99204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w:t>
            </w:r>
          </w:p>
          <w:p w14:paraId="7130301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w:t>
            </w:r>
          </w:p>
          <w:p w14:paraId="053B42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w:t>
            </w:r>
          </w:p>
        </w:tc>
        <w:tc>
          <w:tcPr>
            <w:tcW w:w="1279" w:type="dxa"/>
            <w:vAlign w:val="center"/>
          </w:tcPr>
          <w:p w14:paraId="40F814D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教学思想 与内容</w:t>
            </w:r>
          </w:p>
        </w:tc>
        <w:tc>
          <w:tcPr>
            <w:tcW w:w="500" w:type="dxa"/>
            <w:vAlign w:val="center"/>
          </w:tcPr>
          <w:p w14:paraId="609EE55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7371" w:type="dxa"/>
            <w:vAlign w:val="center"/>
          </w:tcPr>
          <w:p w14:paraId="44CEB667">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遵循教育规律和人才成长规律，教育理念先进，具有国际视野。教学内容符合大学生认知特点，理论联系实际，能及时把学科最新发展和国内外教改成果转化为教学资源</w:t>
            </w:r>
          </w:p>
        </w:tc>
      </w:tr>
      <w:tr w14:paraId="089C5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jc w:val="center"/>
        </w:trPr>
        <w:tc>
          <w:tcPr>
            <w:tcW w:w="581" w:type="dxa"/>
            <w:vMerge w:val="continue"/>
            <w:tcBorders>
              <w:top w:val="nil"/>
              <w:bottom w:val="nil"/>
            </w:tcBorders>
            <w:vAlign w:val="center"/>
          </w:tcPr>
          <w:p w14:paraId="6CD53095">
            <w:pPr>
              <w:jc w:val="center"/>
              <w:rPr>
                <w:rFonts w:hint="eastAsia" w:ascii="仿宋_GB2312" w:hAnsi="仿宋_GB2312" w:eastAsia="仿宋_GB2312" w:cs="仿宋_GB2312"/>
                <w:sz w:val="28"/>
                <w:szCs w:val="28"/>
              </w:rPr>
            </w:pPr>
          </w:p>
        </w:tc>
        <w:tc>
          <w:tcPr>
            <w:tcW w:w="1279" w:type="dxa"/>
            <w:vAlign w:val="center"/>
          </w:tcPr>
          <w:p w14:paraId="671E607E">
            <w:pPr>
              <w:jc w:val="center"/>
              <w:rPr>
                <w:rFonts w:hint="eastAsia" w:ascii="仿宋_GB2312" w:hAnsi="仿宋_GB2312" w:eastAsia="仿宋_GB2312" w:cs="仿宋_GB2312"/>
                <w:sz w:val="28"/>
                <w:szCs w:val="28"/>
              </w:rPr>
            </w:pPr>
          </w:p>
          <w:p w14:paraId="78093D5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教学艺术 与方法</w:t>
            </w:r>
          </w:p>
        </w:tc>
        <w:tc>
          <w:tcPr>
            <w:tcW w:w="500" w:type="dxa"/>
            <w:vAlign w:val="center"/>
          </w:tcPr>
          <w:p w14:paraId="006607F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7371" w:type="dxa"/>
            <w:vAlign w:val="center"/>
          </w:tcPr>
          <w:p w14:paraId="24025E65">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教学艺术精湛，注重学思结合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知行统一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因材施教，积极开展启发式、探究式、讨论式、参与式教学，激发和鼓励学生的创造思维。有效应用现代信息技术</w:t>
            </w:r>
          </w:p>
        </w:tc>
      </w:tr>
      <w:tr w14:paraId="49CCE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581" w:type="dxa"/>
            <w:vMerge w:val="continue"/>
            <w:tcBorders>
              <w:top w:val="nil"/>
              <w:bottom w:val="nil"/>
            </w:tcBorders>
            <w:vAlign w:val="center"/>
          </w:tcPr>
          <w:p w14:paraId="2FA2B354">
            <w:pPr>
              <w:jc w:val="center"/>
              <w:rPr>
                <w:rFonts w:hint="eastAsia" w:ascii="仿宋_GB2312" w:hAnsi="仿宋_GB2312" w:eastAsia="仿宋_GB2312" w:cs="仿宋_GB2312"/>
                <w:sz w:val="28"/>
                <w:szCs w:val="28"/>
              </w:rPr>
            </w:pPr>
          </w:p>
        </w:tc>
        <w:tc>
          <w:tcPr>
            <w:tcW w:w="1279" w:type="dxa"/>
            <w:vAlign w:val="center"/>
          </w:tcPr>
          <w:p w14:paraId="0F533D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教学改革 与成就</w:t>
            </w:r>
          </w:p>
        </w:tc>
        <w:tc>
          <w:tcPr>
            <w:tcW w:w="500" w:type="dxa"/>
            <w:vAlign w:val="center"/>
          </w:tcPr>
          <w:p w14:paraId="6F8E30C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7371" w:type="dxa"/>
            <w:vAlign w:val="center"/>
          </w:tcPr>
          <w:p w14:paraId="36E2D30D">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重视教育教学研究</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主持完成重要教改项目</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在教育思想、教学内容、教学方法等方面取得创造性成果</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并广泛应用于教育教学实践</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发表过多篇高质量的教改教研论文或出版过有一定影响的教改教研专著</w:t>
            </w:r>
          </w:p>
        </w:tc>
      </w:tr>
      <w:tr w14:paraId="2DBE2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581" w:type="dxa"/>
            <w:vMerge w:val="continue"/>
            <w:tcBorders>
              <w:top w:val="nil"/>
              <w:bottom w:val="nil"/>
            </w:tcBorders>
            <w:vAlign w:val="center"/>
          </w:tcPr>
          <w:p w14:paraId="61E73CEB">
            <w:pPr>
              <w:jc w:val="center"/>
              <w:rPr>
                <w:rFonts w:hint="eastAsia" w:ascii="仿宋_GB2312" w:hAnsi="仿宋_GB2312" w:eastAsia="仿宋_GB2312" w:cs="仿宋_GB2312"/>
                <w:sz w:val="28"/>
                <w:szCs w:val="28"/>
              </w:rPr>
            </w:pPr>
          </w:p>
        </w:tc>
        <w:tc>
          <w:tcPr>
            <w:tcW w:w="1279" w:type="dxa"/>
            <w:vAlign w:val="center"/>
          </w:tcPr>
          <w:p w14:paraId="14FD49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w:t>
            </w:r>
          </w:p>
          <w:p w14:paraId="2F09691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效果</w:t>
            </w:r>
          </w:p>
        </w:tc>
        <w:tc>
          <w:tcPr>
            <w:tcW w:w="500" w:type="dxa"/>
            <w:vAlign w:val="center"/>
          </w:tcPr>
          <w:p w14:paraId="6834823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7371" w:type="dxa"/>
            <w:vAlign w:val="center"/>
          </w:tcPr>
          <w:p w14:paraId="1962A49A">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教学能力突出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教学风格鲜明</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主讲课程达到国内同类课程领先水平</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大学生评价优秀</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得到同行公认</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具有示范引领作用，在全国有较大影响</w:t>
            </w:r>
          </w:p>
        </w:tc>
      </w:tr>
      <w:tr w14:paraId="6A6B2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81" w:type="dxa"/>
            <w:vMerge w:val="continue"/>
            <w:tcBorders>
              <w:top w:val="nil"/>
            </w:tcBorders>
            <w:vAlign w:val="center"/>
          </w:tcPr>
          <w:p w14:paraId="73EA10B0">
            <w:pPr>
              <w:jc w:val="center"/>
              <w:rPr>
                <w:rFonts w:hint="eastAsia" w:ascii="仿宋_GB2312" w:hAnsi="仿宋_GB2312" w:eastAsia="仿宋_GB2312" w:cs="仿宋_GB2312"/>
                <w:sz w:val="28"/>
                <w:szCs w:val="28"/>
              </w:rPr>
            </w:pPr>
          </w:p>
        </w:tc>
        <w:tc>
          <w:tcPr>
            <w:tcW w:w="1279" w:type="dxa"/>
            <w:vAlign w:val="center"/>
          </w:tcPr>
          <w:p w14:paraId="1105110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w:t>
            </w:r>
          </w:p>
          <w:p w14:paraId="1B1A492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w:t>
            </w:r>
          </w:p>
        </w:tc>
        <w:tc>
          <w:tcPr>
            <w:tcW w:w="500" w:type="dxa"/>
            <w:vAlign w:val="center"/>
          </w:tcPr>
          <w:p w14:paraId="1CFDBAC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371" w:type="dxa"/>
            <w:vAlign w:val="center"/>
          </w:tcPr>
          <w:p w14:paraId="2982DCE4">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主编的教材质量高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有特色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版本新</w:t>
            </w:r>
          </w:p>
        </w:tc>
      </w:tr>
      <w:tr w14:paraId="7AF16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1860" w:type="dxa"/>
            <w:gridSpan w:val="2"/>
            <w:vAlign w:val="center"/>
          </w:tcPr>
          <w:p w14:paraId="68181AA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教学梯队建 设与贡献</w:t>
            </w:r>
          </w:p>
        </w:tc>
        <w:tc>
          <w:tcPr>
            <w:tcW w:w="500" w:type="dxa"/>
            <w:vAlign w:val="center"/>
          </w:tcPr>
          <w:p w14:paraId="0AC0086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7371" w:type="dxa"/>
            <w:vAlign w:val="center"/>
          </w:tcPr>
          <w:p w14:paraId="36989B16">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领衔高水平教学科研团队</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自觉指导和帮助团队教师提高业务水平和教学能力</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对确立本校该领域教学的历史地位作出重要贡献</w:t>
            </w:r>
          </w:p>
        </w:tc>
      </w:tr>
      <w:tr w14:paraId="10DA4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jc w:val="center"/>
        </w:trPr>
        <w:tc>
          <w:tcPr>
            <w:tcW w:w="1860" w:type="dxa"/>
            <w:gridSpan w:val="2"/>
            <w:vAlign w:val="center"/>
          </w:tcPr>
          <w:p w14:paraId="5D05B7A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4.科学研究与 学术水平</w:t>
            </w:r>
          </w:p>
        </w:tc>
        <w:tc>
          <w:tcPr>
            <w:tcW w:w="500" w:type="dxa"/>
            <w:vAlign w:val="center"/>
          </w:tcPr>
          <w:p w14:paraId="329DB81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7371" w:type="dxa"/>
            <w:vAlign w:val="center"/>
          </w:tcPr>
          <w:p w14:paraId="01A4BD22">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主持或承担重要科研项目</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发表出版高质量的论文或专著</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在国内外同领域具有较高学术地位和知名度</w:t>
            </w:r>
          </w:p>
        </w:tc>
      </w:tr>
    </w:tbl>
    <w:p w14:paraId="7931576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7913"/>
    <w:rsid w:val="235D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FangSong_GB2312" w:hAnsi="FangSong_GB2312" w:eastAsia="FangSong_GB2312" w:cs="FangSong_GB2312"/>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2025-09-26T01:19:00Z</dcterms:created>
  <dc:creator>郑州工商-王碧荷</dc:creator>
  <cp:lastModifiedBy>郑州工商-王碧荷</cp:lastModifiedBy>
  <dcterms:modified xsi:type="dcterms:W3CDTF">2025-09-26T01:31:20Z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D6FB9D0B01C3404C8CF71BF505D26B42_11</vt:lpwstr>
  </property>
  <property fmtid="{D5CDD505-2E9C-101B-9397-08002B2CF9AE}" pid="4" name="KSOTemplateDocerSaveRecord">
    <vt:lpwstr>eyJoZGlkIjoiOGQ5MjFhNjBjYmYwZDlhNTlkYjU1YTU0MmM0Yzk1ZWQiLCJ1c2VySWQiOiIxMTI0NDc0NjkwIn0=</vt:lpwstr>
  </property>
</Properties>
</file>