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140" w:line="604" w:lineRule="exact"/>
        <w:ind w:firstLine="304" w:firstLineChars="100"/>
        <w:jc w:val="left"/>
        <w:textAlignment w:val="baseline"/>
        <w:outlineLvl w:val="0"/>
        <w:rPr>
          <w:rFonts w:hint="eastAsia" w:ascii="黑体" w:hAnsi="黑体" w:eastAsia="黑体" w:cs="黑体"/>
          <w:snapToGrid w:val="0"/>
          <w:color w:val="000000"/>
          <w:spacing w:val="-73"/>
          <w:kern w:val="0"/>
          <w:sz w:val="31"/>
          <w:szCs w:val="31"/>
          <w:lang w:val="en-US" w:eastAsia="zh-CN"/>
        </w:rPr>
      </w:pPr>
      <w:r>
        <w:rPr>
          <w:rFonts w:ascii="黑体" w:hAnsi="黑体" w:eastAsia="黑体" w:cs="黑体"/>
          <w:snapToGrid w:val="0"/>
          <w:color w:val="000000"/>
          <w:spacing w:val="-3"/>
          <w:kern w:val="0"/>
          <w:sz w:val="31"/>
          <w:szCs w:val="31"/>
          <w:lang w:eastAsia="en-US"/>
        </w:rPr>
        <w:t>附件</w:t>
      </w:r>
      <w:r>
        <w:rPr>
          <w:rFonts w:ascii="黑体" w:hAnsi="黑体" w:eastAsia="黑体" w:cs="黑体"/>
          <w:snapToGrid w:val="0"/>
          <w:color w:val="000000"/>
          <w:spacing w:val="-73"/>
          <w:kern w:val="0"/>
          <w:sz w:val="31"/>
          <w:szCs w:val="31"/>
          <w:lang w:eastAsia="en-US"/>
        </w:rPr>
        <w:t xml:space="preserve"> </w:t>
      </w:r>
      <w:r>
        <w:rPr>
          <w:rFonts w:hint="eastAsia" w:ascii="黑体" w:hAnsi="黑体" w:eastAsia="黑体" w:cs="黑体"/>
          <w:snapToGrid w:val="0"/>
          <w:color w:val="000000"/>
          <w:spacing w:val="-73"/>
          <w:kern w:val="0"/>
          <w:sz w:val="31"/>
          <w:szCs w:val="31"/>
          <w:lang w:val="en-US" w:eastAsia="zh-CN"/>
        </w:rPr>
        <w:t>5</w:t>
      </w:r>
    </w:p>
    <w:p>
      <w:pPr>
        <w:widowControl/>
        <w:kinsoku w:val="0"/>
        <w:autoSpaceDE w:val="0"/>
        <w:autoSpaceDN w:val="0"/>
        <w:adjustRightInd w:val="0"/>
        <w:snapToGrid w:val="0"/>
        <w:spacing w:before="140" w:line="604" w:lineRule="exact"/>
        <w:jc w:val="center"/>
        <w:textAlignment w:val="baseline"/>
        <w:outlineLvl w:val="0"/>
        <w:rPr>
          <w:rFonts w:ascii="宋体" w:hAnsi="宋体" w:eastAsia="宋体" w:cs="宋体"/>
          <w:snapToGrid w:val="0"/>
          <w:color w:val="000000"/>
          <w:kern w:val="0"/>
          <w:sz w:val="43"/>
          <w:szCs w:val="43"/>
          <w:lang w:eastAsia="en-US"/>
        </w:rPr>
      </w:pPr>
      <w:r>
        <w:rPr>
          <w:rFonts w:ascii="宋体" w:hAnsi="宋体" w:eastAsia="宋体" w:cs="宋体"/>
          <w:snapToGrid w:val="0"/>
          <w:color w:val="000000"/>
          <w:spacing w:val="9"/>
          <w:kern w:val="0"/>
          <w:position w:val="3"/>
          <w:sz w:val="43"/>
          <w:szCs w:val="43"/>
          <w:lang w:eastAsia="en-US"/>
          <w14:textOutline w14:w="6350" w14:cap="flat" w14:cmpd="sng">
            <w14:solidFill>
              <w14:srgbClr w14:val="000000"/>
            </w14:solidFill>
            <w14:prstDash w14:val="solid"/>
            <w14:miter w14:val="0"/>
          </w14:textOutline>
        </w:rPr>
        <w:t>产教融合赛道评分标准</w:t>
      </w:r>
    </w:p>
    <w:p>
      <w:pPr>
        <w:widowControl/>
        <w:kinsoku w:val="0"/>
        <w:autoSpaceDE w:val="0"/>
        <w:autoSpaceDN w:val="0"/>
        <w:adjustRightInd w:val="0"/>
        <w:snapToGrid w:val="0"/>
        <w:spacing w:line="319"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5" w:line="227" w:lineRule="auto"/>
        <w:ind w:firstLine="592" w:firstLineChars="200"/>
        <w:jc w:val="left"/>
        <w:textAlignment w:val="baseline"/>
        <w:rPr>
          <w:rFonts w:ascii="黑体" w:hAnsi="黑体" w:eastAsia="黑体" w:cs="黑体"/>
          <w:snapToGrid w:val="0"/>
          <w:color w:val="000000"/>
          <w:kern w:val="0"/>
          <w:sz w:val="29"/>
          <w:szCs w:val="29"/>
          <w:lang w:eastAsia="en-US"/>
        </w:rPr>
      </w:pPr>
      <w:r>
        <w:rPr>
          <w:rFonts w:hint="eastAsia" w:ascii="黑体" w:hAnsi="黑体" w:eastAsia="黑体" w:cs="黑体"/>
          <w:snapToGrid w:val="0"/>
          <w:color w:val="000000"/>
          <w:spacing w:val="3"/>
          <w:kern w:val="0"/>
          <w:sz w:val="29"/>
          <w:szCs w:val="29"/>
          <w:lang w:val="en-US" w:eastAsia="zh-CN"/>
        </w:rPr>
        <w:t>一、</w:t>
      </w:r>
      <w:r>
        <w:rPr>
          <w:rFonts w:ascii="黑体" w:hAnsi="黑体" w:eastAsia="黑体" w:cs="黑体"/>
          <w:snapToGrid w:val="0"/>
          <w:color w:val="000000"/>
          <w:spacing w:val="3"/>
          <w:kern w:val="0"/>
          <w:sz w:val="29"/>
          <w:szCs w:val="29"/>
          <w:lang w:eastAsia="en-US"/>
        </w:rPr>
        <w:t>课堂教学实录视频（40</w:t>
      </w:r>
      <w:r>
        <w:rPr>
          <w:rFonts w:ascii="黑体" w:hAnsi="黑体" w:eastAsia="黑体" w:cs="黑体"/>
          <w:snapToGrid w:val="0"/>
          <w:color w:val="000000"/>
          <w:spacing w:val="-48"/>
          <w:kern w:val="0"/>
          <w:sz w:val="29"/>
          <w:szCs w:val="29"/>
          <w:lang w:eastAsia="en-US"/>
        </w:rPr>
        <w:t xml:space="preserve"> </w:t>
      </w:r>
      <w:r>
        <w:rPr>
          <w:rFonts w:ascii="黑体" w:hAnsi="黑体" w:eastAsia="黑体" w:cs="黑体"/>
          <w:snapToGrid w:val="0"/>
          <w:color w:val="000000"/>
          <w:spacing w:val="3"/>
          <w:kern w:val="0"/>
          <w:sz w:val="29"/>
          <w:szCs w:val="29"/>
          <w:lang w:eastAsia="en-US"/>
        </w:rPr>
        <w:t>分）</w:t>
      </w:r>
    </w:p>
    <w:p>
      <w:pPr>
        <w:widowControl/>
        <w:kinsoku w:val="0"/>
        <w:autoSpaceDE w:val="0"/>
        <w:autoSpaceDN w:val="0"/>
        <w:adjustRightInd w:val="0"/>
        <w:snapToGrid w:val="0"/>
        <w:spacing w:line="86" w:lineRule="exact"/>
        <w:jc w:val="left"/>
        <w:textAlignment w:val="baseline"/>
        <w:rPr>
          <w:rFonts w:ascii="Arial" w:hAnsi="Arial" w:eastAsia="Arial" w:cs="Arial"/>
          <w:snapToGrid w:val="0"/>
          <w:color w:val="000000"/>
          <w:kern w:val="0"/>
          <w:szCs w:val="21"/>
          <w:lang w:eastAsia="en-US"/>
        </w:rPr>
      </w:pPr>
    </w:p>
    <w:tbl>
      <w:tblPr>
        <w:tblStyle w:val="4"/>
        <w:tblW w:w="964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9"/>
        <w:gridCol w:w="80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1629" w:type="dxa"/>
            <w:vAlign w:val="top"/>
          </w:tcPr>
          <w:p>
            <w:pPr>
              <w:widowControl/>
              <w:kinsoku w:val="0"/>
              <w:autoSpaceDE w:val="0"/>
              <w:autoSpaceDN w:val="0"/>
              <w:adjustRightInd w:val="0"/>
              <w:snapToGrid w:val="0"/>
              <w:spacing w:before="111" w:line="230" w:lineRule="auto"/>
              <w:ind w:left="340"/>
              <w:jc w:val="left"/>
              <w:textAlignment w:val="baseline"/>
              <w:rPr>
                <w:rFonts w:ascii="黑体" w:hAnsi="黑体" w:eastAsia="黑体" w:cs="黑体"/>
                <w:snapToGrid w:val="0"/>
                <w:color w:val="000000"/>
                <w:kern w:val="0"/>
                <w:sz w:val="23"/>
                <w:szCs w:val="23"/>
                <w:lang w:eastAsia="en-US"/>
              </w:rPr>
            </w:pPr>
            <w:r>
              <w:rPr>
                <w:rFonts w:ascii="黑体" w:hAnsi="黑体" w:eastAsia="黑体" w:cs="黑体"/>
                <w:snapToGrid w:val="0"/>
                <w:color w:val="000000"/>
                <w:spacing w:val="8"/>
                <w:kern w:val="0"/>
                <w:sz w:val="23"/>
                <w:szCs w:val="23"/>
                <w:lang w:eastAsia="en-US"/>
              </w:rPr>
              <w:t>评价维度</w:t>
            </w:r>
          </w:p>
        </w:tc>
        <w:tc>
          <w:tcPr>
            <w:tcW w:w="8019" w:type="dxa"/>
            <w:vAlign w:val="top"/>
          </w:tcPr>
          <w:p>
            <w:pPr>
              <w:widowControl/>
              <w:kinsoku w:val="0"/>
              <w:autoSpaceDE w:val="0"/>
              <w:autoSpaceDN w:val="0"/>
              <w:adjustRightInd w:val="0"/>
              <w:snapToGrid w:val="0"/>
              <w:spacing w:before="111" w:line="230" w:lineRule="auto"/>
              <w:ind w:left="3530"/>
              <w:jc w:val="left"/>
              <w:textAlignment w:val="baseline"/>
              <w:rPr>
                <w:rFonts w:ascii="黑体" w:hAnsi="黑体" w:eastAsia="黑体" w:cs="黑体"/>
                <w:snapToGrid w:val="0"/>
                <w:color w:val="000000"/>
                <w:kern w:val="0"/>
                <w:sz w:val="23"/>
                <w:szCs w:val="23"/>
                <w:lang w:eastAsia="en-US"/>
              </w:rPr>
            </w:pPr>
            <w:r>
              <w:rPr>
                <w:rFonts w:ascii="黑体" w:hAnsi="黑体" w:eastAsia="黑体" w:cs="黑体"/>
                <w:snapToGrid w:val="0"/>
                <w:color w:val="000000"/>
                <w:spacing w:val="8"/>
                <w:kern w:val="0"/>
                <w:sz w:val="23"/>
                <w:szCs w:val="23"/>
                <w:lang w:eastAsia="en-US"/>
              </w:rPr>
              <w:t>评价要点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jc w:val="center"/>
        </w:trPr>
        <w:tc>
          <w:tcPr>
            <w:tcW w:w="1629" w:type="dxa"/>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教学理念</w:t>
            </w:r>
          </w:p>
        </w:tc>
        <w:tc>
          <w:tcPr>
            <w:tcW w:w="8019"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体现 “ 以学生发展为中心”教育理念，符合专业特色与课程要求；在深化产教融合中推进教育教学创新，提高人才培养的质量，服务区域经济社会发展，促进教育链、人才链与产业链、创新链有机衔接。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1629" w:type="dxa"/>
            <w:vMerge w:val="restart"/>
            <w:tcBorders>
              <w:bottom w:val="nil"/>
            </w:tcBorders>
            <w:vAlign w:val="center"/>
          </w:tcPr>
          <w:p>
            <w:pPr>
              <w:jc w:val="both"/>
              <w:rPr>
                <w:rFonts w:hint="eastAsia" w:ascii="黑体" w:hAnsi="黑体" w:eastAsia="黑体" w:cs="黑体"/>
                <w:lang w:eastAsia="en-US"/>
              </w:rPr>
            </w:pPr>
          </w:p>
          <w:p>
            <w:pPr>
              <w:jc w:val="center"/>
              <w:rPr>
                <w:rFonts w:hint="eastAsia" w:ascii="黑体" w:hAnsi="黑体" w:eastAsia="黑体" w:cs="黑体"/>
                <w:lang w:val="en-US" w:eastAsia="en-US"/>
              </w:rPr>
            </w:pPr>
            <w:r>
              <w:rPr>
                <w:rFonts w:hint="eastAsia" w:ascii="黑体" w:hAnsi="黑体" w:eastAsia="黑体" w:cs="黑体"/>
                <w:lang w:val="en-US" w:eastAsia="en-US"/>
              </w:rPr>
              <w:t>教学内容</w:t>
            </w:r>
          </w:p>
        </w:tc>
        <w:tc>
          <w:tcPr>
            <w:tcW w:w="8019"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深挖课程思政元素，有机融入课程教学，实现“润物无声”的课程思政教育。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4" w:hRule="atLeast"/>
          <w:jc w:val="center"/>
        </w:trPr>
        <w:tc>
          <w:tcPr>
            <w:tcW w:w="1629" w:type="dxa"/>
            <w:vMerge w:val="continue"/>
            <w:tcBorders>
              <w:top w:val="nil"/>
              <w:bottom w:val="nil"/>
            </w:tcBorders>
            <w:vAlign w:val="center"/>
          </w:tcPr>
          <w:p>
            <w:pPr>
              <w:jc w:val="center"/>
              <w:rPr>
                <w:rFonts w:hint="eastAsia" w:ascii="黑体" w:hAnsi="黑体" w:eastAsia="黑体" w:cs="黑体"/>
                <w:lang w:eastAsia="en-US"/>
              </w:rPr>
            </w:pPr>
          </w:p>
        </w:tc>
        <w:tc>
          <w:tcPr>
            <w:tcW w:w="8019"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将教学内容与行业企业、实务部门等实际工作和需求以及国家产业政策、国 内外产业发展的基础走向和价值导向紧密融合，将生产现场转化为教学课堂， 将政产学研的创新理念、机制体制和重大科研成果转化为课程教学案例，体 现高阶性、创新性与挑战度。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jc w:val="center"/>
        </w:trPr>
        <w:tc>
          <w:tcPr>
            <w:tcW w:w="1629" w:type="dxa"/>
            <w:vMerge w:val="continue"/>
            <w:tcBorders>
              <w:top w:val="nil"/>
            </w:tcBorders>
            <w:vAlign w:val="center"/>
          </w:tcPr>
          <w:p>
            <w:pPr>
              <w:jc w:val="center"/>
              <w:rPr>
                <w:rFonts w:hint="eastAsia" w:ascii="黑体" w:hAnsi="黑体" w:eastAsia="黑体" w:cs="黑体"/>
                <w:lang w:eastAsia="en-US"/>
              </w:rPr>
            </w:pPr>
          </w:p>
        </w:tc>
        <w:tc>
          <w:tcPr>
            <w:tcW w:w="8019"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教学资源储备丰富，行业企业深度参与课程建设和教材编写，包括但不局限 于共建校企联合实验室、共建实习实践基地、联合开发课程、共同编写教材等，注重将行业企业发展最新前沿成果融入教学内容。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jc w:val="center"/>
        </w:trPr>
        <w:tc>
          <w:tcPr>
            <w:tcW w:w="1629" w:type="dxa"/>
            <w:vMerge w:val="restart"/>
            <w:tcBorders>
              <w:bottom w:val="nil"/>
            </w:tcBorders>
            <w:vAlign w:val="center"/>
          </w:tcPr>
          <w:p>
            <w:pPr>
              <w:jc w:val="both"/>
              <w:rPr>
                <w:rFonts w:hint="eastAsia" w:ascii="黑体" w:hAnsi="黑体" w:eastAsia="黑体" w:cs="黑体"/>
                <w:lang w:eastAsia="en-US"/>
              </w:rPr>
            </w:pPr>
          </w:p>
          <w:p>
            <w:pPr>
              <w:jc w:val="center"/>
              <w:rPr>
                <w:rFonts w:hint="eastAsia" w:ascii="黑体" w:hAnsi="黑体" w:eastAsia="黑体" w:cs="黑体"/>
                <w:lang w:val="en-US" w:eastAsia="en-US"/>
              </w:rPr>
            </w:pPr>
            <w:r>
              <w:rPr>
                <w:rFonts w:hint="eastAsia" w:ascii="黑体" w:hAnsi="黑体" w:eastAsia="黑体" w:cs="黑体"/>
                <w:lang w:val="en-US" w:eastAsia="en-US"/>
              </w:rPr>
              <w:t>教学过程</w:t>
            </w:r>
          </w:p>
        </w:tc>
        <w:tc>
          <w:tcPr>
            <w:tcW w:w="8019"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体现教师主导、学生主体、行业企业参与，聘请行业企业优秀专业技术人才、管理人才和高技能人才等参与教学。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jc w:val="center"/>
        </w:trPr>
        <w:tc>
          <w:tcPr>
            <w:tcW w:w="1629" w:type="dxa"/>
            <w:vMerge w:val="continue"/>
            <w:tcBorders>
              <w:top w:val="nil"/>
              <w:bottom w:val="nil"/>
            </w:tcBorders>
            <w:vAlign w:val="center"/>
          </w:tcPr>
          <w:p>
            <w:pPr>
              <w:jc w:val="center"/>
              <w:rPr>
                <w:rFonts w:hint="eastAsia" w:ascii="黑体" w:hAnsi="黑体" w:eastAsia="黑体" w:cs="黑体"/>
                <w:lang w:eastAsia="en-US"/>
              </w:rPr>
            </w:pPr>
          </w:p>
        </w:tc>
        <w:tc>
          <w:tcPr>
            <w:tcW w:w="8019"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以解决社会和行业企业实际问题为导向，充分利用产教融合校企合作平台，采用项目式、任务式等方式方法，将专业知识与生产过程和行业标准等相对 接，启发学生思考，培养学生在真实生产环境中解决复杂问题的能力。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jc w:val="center"/>
        </w:trPr>
        <w:tc>
          <w:tcPr>
            <w:tcW w:w="1629" w:type="dxa"/>
            <w:vMerge w:val="continue"/>
            <w:tcBorders>
              <w:top w:val="nil"/>
            </w:tcBorders>
            <w:vAlign w:val="center"/>
          </w:tcPr>
          <w:p>
            <w:pPr>
              <w:jc w:val="center"/>
              <w:rPr>
                <w:rFonts w:hint="eastAsia" w:ascii="黑体" w:hAnsi="黑体" w:eastAsia="黑体" w:cs="黑体"/>
                <w:lang w:eastAsia="en-US"/>
              </w:rPr>
            </w:pPr>
          </w:p>
        </w:tc>
        <w:tc>
          <w:tcPr>
            <w:tcW w:w="8019"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产学合作开发数字资源，将数字产业化和产业数字化作为基本教学线索，深 化数字化技术在教学场景和评价中的应用。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629" w:type="dxa"/>
            <w:vMerge w:val="restart"/>
            <w:tcBorders>
              <w:bottom w:val="nil"/>
            </w:tcBorders>
            <w:vAlign w:val="center"/>
          </w:tcPr>
          <w:p>
            <w:pPr>
              <w:jc w:val="both"/>
              <w:rPr>
                <w:rFonts w:hint="eastAsia" w:ascii="黑体" w:hAnsi="黑体" w:eastAsia="黑体" w:cs="黑体"/>
                <w:lang w:eastAsia="en-US"/>
              </w:rPr>
            </w:pPr>
          </w:p>
          <w:p>
            <w:pPr>
              <w:jc w:val="center"/>
              <w:rPr>
                <w:rFonts w:hint="eastAsia" w:ascii="黑体" w:hAnsi="黑体" w:eastAsia="黑体" w:cs="黑体"/>
                <w:lang w:val="en-US" w:eastAsia="en-US"/>
              </w:rPr>
            </w:pPr>
            <w:r>
              <w:rPr>
                <w:rFonts w:hint="eastAsia" w:ascii="黑体" w:hAnsi="黑体" w:eastAsia="黑体" w:cs="黑体"/>
                <w:lang w:val="en-US" w:eastAsia="en-US"/>
              </w:rPr>
              <w:t>教学效果</w:t>
            </w:r>
          </w:p>
        </w:tc>
        <w:tc>
          <w:tcPr>
            <w:tcW w:w="8019"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课程讲授富有吸引力，互动气氛融洽，学生思维活跃，能够了解领域和行业</w:t>
            </w:r>
            <w:bookmarkStart w:id="0" w:name="_GoBack"/>
            <w:bookmarkEnd w:id="0"/>
            <w:r>
              <w:rPr>
                <w:rFonts w:hint="eastAsia" w:ascii="仿宋_GB2312" w:hAnsi="仿宋_GB2312" w:eastAsia="仿宋_GB2312" w:cs="仿宋_GB2312"/>
                <w:sz w:val="24"/>
                <w:szCs w:val="24"/>
                <w:lang w:val="en-US" w:eastAsia="en-US"/>
              </w:rPr>
              <w:t>的最新动态和实际情况，创新实践能力增强，学生素质、知识和能力全面提 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jc w:val="center"/>
        </w:trPr>
        <w:tc>
          <w:tcPr>
            <w:tcW w:w="1629" w:type="dxa"/>
            <w:vMerge w:val="continue"/>
            <w:tcBorders>
              <w:top w:val="nil"/>
            </w:tcBorders>
            <w:vAlign w:val="center"/>
          </w:tcPr>
          <w:p>
            <w:pPr>
              <w:jc w:val="center"/>
              <w:rPr>
                <w:rFonts w:hint="eastAsia" w:ascii="黑体" w:hAnsi="黑体" w:eastAsia="黑体" w:cs="黑体"/>
                <w:lang w:eastAsia="en-US"/>
              </w:rPr>
            </w:pPr>
          </w:p>
        </w:tc>
        <w:tc>
          <w:tcPr>
            <w:tcW w:w="8019"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形成服务国家战略、突出专业特色、符合学生特点和推动产业高质量发展的合作教学模式，形成可持续发展的机制体制和基本经验，具有较大借鉴和推 广价值。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jc w:val="center"/>
        </w:trPr>
        <w:tc>
          <w:tcPr>
            <w:tcW w:w="1629" w:type="dxa"/>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视频质量</w:t>
            </w:r>
          </w:p>
        </w:tc>
        <w:tc>
          <w:tcPr>
            <w:tcW w:w="8019"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教学视频清晰、流畅，能客观、真实反映师生的教学过程常态。</w:t>
            </w:r>
          </w:p>
        </w:tc>
      </w:tr>
    </w:tbl>
    <w:p>
      <w:pPr>
        <w:rPr>
          <w:rFonts w:ascii="Arial" w:hAnsi="Arial" w:eastAsia="Arial" w:cs="Arial"/>
          <w:sz w:val="21"/>
          <w:szCs w:val="21"/>
        </w:rPr>
        <w:sectPr>
          <w:footerReference r:id="rId3" w:type="default"/>
          <w:pgSz w:w="11906" w:h="16838"/>
          <w:pgMar w:top="1431" w:right="1043" w:bottom="1961" w:left="1213" w:header="0" w:footer="1672" w:gutter="0"/>
          <w:cols w:space="720" w:num="1"/>
        </w:sectPr>
      </w:pPr>
    </w:p>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21"/>
          <w:szCs w:val="21"/>
          <w:lang w:eastAsia="en-US"/>
        </w:rPr>
      </w:pPr>
    </w:p>
    <w:p>
      <w:pPr>
        <w:widowControl/>
        <w:kinsoku w:val="0"/>
        <w:autoSpaceDE w:val="0"/>
        <w:autoSpaceDN w:val="0"/>
        <w:adjustRightInd w:val="0"/>
        <w:snapToGrid w:val="0"/>
        <w:spacing w:before="95" w:line="227" w:lineRule="auto"/>
        <w:jc w:val="left"/>
        <w:textAlignment w:val="baseline"/>
        <w:rPr>
          <w:rFonts w:ascii="黑体" w:hAnsi="黑体" w:eastAsia="黑体" w:cs="黑体"/>
          <w:snapToGrid w:val="0"/>
          <w:color w:val="000000"/>
          <w:kern w:val="0"/>
          <w:sz w:val="29"/>
          <w:szCs w:val="29"/>
          <w:lang w:eastAsia="en-US"/>
        </w:rPr>
      </w:pPr>
      <w:r>
        <w:rPr>
          <w:rFonts w:hint="eastAsia" w:ascii="黑体" w:hAnsi="黑体" w:eastAsia="黑体" w:cs="黑体"/>
          <w:snapToGrid w:val="0"/>
          <w:color w:val="000000"/>
          <w:spacing w:val="2"/>
          <w:kern w:val="0"/>
          <w:sz w:val="29"/>
          <w:szCs w:val="29"/>
          <w:lang w:val="en-US" w:eastAsia="zh-CN"/>
        </w:rPr>
        <w:t>二、</w:t>
      </w:r>
      <w:r>
        <w:rPr>
          <w:rFonts w:ascii="黑体" w:hAnsi="黑体" w:eastAsia="黑体" w:cs="黑体"/>
          <w:snapToGrid w:val="0"/>
          <w:color w:val="000000"/>
          <w:spacing w:val="2"/>
          <w:kern w:val="0"/>
          <w:sz w:val="29"/>
          <w:szCs w:val="29"/>
          <w:lang w:eastAsia="en-US"/>
        </w:rPr>
        <w:t>创新成果报告（20</w:t>
      </w:r>
      <w:r>
        <w:rPr>
          <w:rFonts w:ascii="黑体" w:hAnsi="黑体" w:eastAsia="黑体" w:cs="黑体"/>
          <w:snapToGrid w:val="0"/>
          <w:color w:val="000000"/>
          <w:spacing w:val="-51"/>
          <w:kern w:val="0"/>
          <w:sz w:val="29"/>
          <w:szCs w:val="29"/>
          <w:lang w:eastAsia="en-US"/>
        </w:rPr>
        <w:t xml:space="preserve"> </w:t>
      </w:r>
      <w:r>
        <w:rPr>
          <w:rFonts w:ascii="黑体" w:hAnsi="黑体" w:eastAsia="黑体" w:cs="黑体"/>
          <w:snapToGrid w:val="0"/>
          <w:color w:val="000000"/>
          <w:spacing w:val="2"/>
          <w:kern w:val="0"/>
          <w:sz w:val="29"/>
          <w:szCs w:val="29"/>
          <w:lang w:eastAsia="en-US"/>
        </w:rPr>
        <w:t>分）</w:t>
      </w:r>
    </w:p>
    <w:p>
      <w:pPr>
        <w:widowControl/>
        <w:kinsoku w:val="0"/>
        <w:autoSpaceDE w:val="0"/>
        <w:autoSpaceDN w:val="0"/>
        <w:adjustRightInd w:val="0"/>
        <w:snapToGrid w:val="0"/>
        <w:spacing w:line="86" w:lineRule="exact"/>
        <w:jc w:val="left"/>
        <w:textAlignment w:val="baseline"/>
        <w:rPr>
          <w:rFonts w:ascii="Arial" w:hAnsi="Arial" w:eastAsia="Arial" w:cs="Arial"/>
          <w:snapToGrid w:val="0"/>
          <w:color w:val="000000"/>
          <w:kern w:val="0"/>
          <w:szCs w:val="21"/>
          <w:lang w:eastAsia="en-US"/>
        </w:rPr>
      </w:pPr>
    </w:p>
    <w:tbl>
      <w:tblPr>
        <w:tblStyle w:val="4"/>
        <w:tblW w:w="96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2"/>
        <w:gridCol w:w="7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2022" w:type="dxa"/>
            <w:vAlign w:val="top"/>
          </w:tcPr>
          <w:p>
            <w:pPr>
              <w:widowControl/>
              <w:kinsoku w:val="0"/>
              <w:autoSpaceDE w:val="0"/>
              <w:autoSpaceDN w:val="0"/>
              <w:adjustRightInd w:val="0"/>
              <w:snapToGrid w:val="0"/>
              <w:spacing w:before="156" w:line="230" w:lineRule="auto"/>
              <w:ind w:left="537"/>
              <w:jc w:val="left"/>
              <w:textAlignment w:val="baseline"/>
              <w:rPr>
                <w:rFonts w:ascii="黑体" w:hAnsi="黑体" w:eastAsia="黑体" w:cs="黑体"/>
                <w:snapToGrid w:val="0"/>
                <w:color w:val="000000"/>
                <w:kern w:val="0"/>
                <w:sz w:val="23"/>
                <w:szCs w:val="23"/>
                <w:lang w:eastAsia="en-US"/>
              </w:rPr>
            </w:pPr>
            <w:r>
              <w:rPr>
                <w:rFonts w:ascii="黑体" w:hAnsi="黑体" w:eastAsia="黑体" w:cs="黑体"/>
                <w:snapToGrid w:val="0"/>
                <w:color w:val="000000"/>
                <w:spacing w:val="8"/>
                <w:kern w:val="0"/>
                <w:sz w:val="23"/>
                <w:szCs w:val="23"/>
                <w:lang w:eastAsia="en-US"/>
              </w:rPr>
              <w:t>评价维度</w:t>
            </w:r>
          </w:p>
        </w:tc>
        <w:tc>
          <w:tcPr>
            <w:tcW w:w="7621" w:type="dxa"/>
            <w:vAlign w:val="top"/>
          </w:tcPr>
          <w:p>
            <w:pPr>
              <w:widowControl/>
              <w:kinsoku w:val="0"/>
              <w:autoSpaceDE w:val="0"/>
              <w:autoSpaceDN w:val="0"/>
              <w:adjustRightInd w:val="0"/>
              <w:snapToGrid w:val="0"/>
              <w:spacing w:before="156" w:line="230" w:lineRule="auto"/>
              <w:ind w:left="3334"/>
              <w:jc w:val="left"/>
              <w:textAlignment w:val="baseline"/>
              <w:rPr>
                <w:rFonts w:ascii="黑体" w:hAnsi="黑体" w:eastAsia="黑体" w:cs="黑体"/>
                <w:snapToGrid w:val="0"/>
                <w:color w:val="000000"/>
                <w:kern w:val="0"/>
                <w:sz w:val="23"/>
                <w:szCs w:val="23"/>
                <w:lang w:eastAsia="en-US"/>
              </w:rPr>
            </w:pPr>
            <w:r>
              <w:rPr>
                <w:rFonts w:ascii="黑体" w:hAnsi="黑体" w:eastAsia="黑体" w:cs="黑体"/>
                <w:snapToGrid w:val="0"/>
                <w:color w:val="000000"/>
                <w:spacing w:val="8"/>
                <w:kern w:val="0"/>
                <w:sz w:val="23"/>
                <w:szCs w:val="23"/>
                <w:lang w:eastAsia="en-US"/>
              </w:rPr>
              <w:t>评价要点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jc w:val="center"/>
        </w:trPr>
        <w:tc>
          <w:tcPr>
            <w:tcW w:w="2022" w:type="dxa"/>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问题导向</w:t>
            </w:r>
          </w:p>
        </w:tc>
        <w:tc>
          <w:tcPr>
            <w:tcW w:w="7621"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人才培养规格与哲学社会科学和自然科学领域的各类实践需求相符，以培养高素质创新人才为导向，立足专业和学科特色，发现和解决产教融合课程教学面临的问题和挑战。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2022" w:type="dxa"/>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创新特色</w:t>
            </w:r>
          </w:p>
        </w:tc>
        <w:tc>
          <w:tcPr>
            <w:tcW w:w="7621"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通过产学研深度合作，在教学目标、内容、方法、评价和资源开发等方面共同完成课程改革，且针对性、创新性、可操作性强。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2022" w:type="dxa"/>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创新效果</w:t>
            </w:r>
          </w:p>
        </w:tc>
        <w:tc>
          <w:tcPr>
            <w:tcW w:w="7621"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课程教学方案设计科学、方法有效、评价多元，数字化转型较好，学生服务国家战略意识、专业知识素养、解决产业发展问题能力同步提高，解决人才培养供给侧和产业需求侧的结构性矛盾。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2022" w:type="dxa"/>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成果辐射</w:t>
            </w:r>
          </w:p>
        </w:tc>
        <w:tc>
          <w:tcPr>
            <w:tcW w:w="7621"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能够对产教融合课程教学的合作模式和成果转化开展基于证据的有效分析与总结，形成具有较强辐射推广价值的教学新方法、新模式。</w:t>
            </w:r>
          </w:p>
        </w:tc>
      </w:tr>
    </w:tbl>
    <w:p>
      <w:pPr>
        <w:widowControl/>
        <w:kinsoku w:val="0"/>
        <w:autoSpaceDE w:val="0"/>
        <w:autoSpaceDN w:val="0"/>
        <w:adjustRightInd w:val="0"/>
        <w:snapToGrid w:val="0"/>
        <w:spacing w:before="142" w:line="227" w:lineRule="auto"/>
        <w:jc w:val="left"/>
        <w:textAlignment w:val="baseline"/>
        <w:rPr>
          <w:rFonts w:ascii="黑体" w:hAnsi="黑体" w:eastAsia="黑体" w:cs="黑体"/>
          <w:snapToGrid w:val="0"/>
          <w:color w:val="000000"/>
          <w:kern w:val="0"/>
          <w:sz w:val="29"/>
          <w:szCs w:val="29"/>
          <w:lang w:eastAsia="en-US"/>
        </w:rPr>
      </w:pPr>
      <w:r>
        <w:rPr>
          <w:rFonts w:hint="eastAsia" w:ascii="黑体" w:hAnsi="黑体" w:eastAsia="黑体" w:cs="黑体"/>
          <w:snapToGrid w:val="0"/>
          <w:color w:val="000000"/>
          <w:spacing w:val="3"/>
          <w:kern w:val="0"/>
          <w:sz w:val="29"/>
          <w:szCs w:val="29"/>
          <w:lang w:val="en-US" w:eastAsia="zh-CN"/>
        </w:rPr>
        <w:t>三、</w:t>
      </w:r>
      <w:r>
        <w:rPr>
          <w:rFonts w:ascii="黑体" w:hAnsi="黑体" w:eastAsia="黑体" w:cs="黑体"/>
          <w:snapToGrid w:val="0"/>
          <w:color w:val="000000"/>
          <w:spacing w:val="3"/>
          <w:kern w:val="0"/>
          <w:sz w:val="29"/>
          <w:szCs w:val="29"/>
          <w:lang w:eastAsia="en-US"/>
        </w:rPr>
        <w:t>教学设计创新汇报（40</w:t>
      </w:r>
      <w:r>
        <w:rPr>
          <w:rFonts w:ascii="黑体" w:hAnsi="黑体" w:eastAsia="黑体" w:cs="黑体"/>
          <w:snapToGrid w:val="0"/>
          <w:color w:val="000000"/>
          <w:spacing w:val="-49"/>
          <w:kern w:val="0"/>
          <w:sz w:val="29"/>
          <w:szCs w:val="29"/>
          <w:lang w:eastAsia="en-US"/>
        </w:rPr>
        <w:t xml:space="preserve"> </w:t>
      </w:r>
      <w:r>
        <w:rPr>
          <w:rFonts w:ascii="黑体" w:hAnsi="黑体" w:eastAsia="黑体" w:cs="黑体"/>
          <w:snapToGrid w:val="0"/>
          <w:color w:val="000000"/>
          <w:spacing w:val="3"/>
          <w:kern w:val="0"/>
          <w:sz w:val="29"/>
          <w:szCs w:val="29"/>
          <w:lang w:eastAsia="en-US"/>
        </w:rPr>
        <w:t>分）</w:t>
      </w:r>
    </w:p>
    <w:tbl>
      <w:tblPr>
        <w:tblStyle w:val="4"/>
        <w:tblpPr w:leftFromText="180" w:rightFromText="180" w:vertAnchor="text" w:horzAnchor="page" w:tblpXSpec="center" w:tblpY="89"/>
        <w:tblOverlap w:val="never"/>
        <w:tblW w:w="96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7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jc w:val="center"/>
        </w:trPr>
        <w:tc>
          <w:tcPr>
            <w:tcW w:w="1830" w:type="dxa"/>
            <w:vAlign w:val="top"/>
          </w:tcPr>
          <w:p>
            <w:pPr>
              <w:widowControl/>
              <w:kinsoku w:val="0"/>
              <w:autoSpaceDE w:val="0"/>
              <w:autoSpaceDN w:val="0"/>
              <w:adjustRightInd w:val="0"/>
              <w:snapToGrid w:val="0"/>
              <w:spacing w:before="140" w:line="230" w:lineRule="auto"/>
              <w:ind w:left="441"/>
              <w:jc w:val="left"/>
              <w:textAlignment w:val="baseline"/>
              <w:rPr>
                <w:rFonts w:ascii="黑体" w:hAnsi="黑体" w:eastAsia="黑体" w:cs="黑体"/>
                <w:snapToGrid w:val="0"/>
                <w:color w:val="000000"/>
                <w:kern w:val="0"/>
                <w:sz w:val="23"/>
                <w:szCs w:val="23"/>
                <w:lang w:eastAsia="en-US"/>
              </w:rPr>
            </w:pPr>
            <w:r>
              <w:rPr>
                <w:rFonts w:ascii="黑体" w:hAnsi="黑体" w:eastAsia="黑体" w:cs="黑体"/>
                <w:snapToGrid w:val="0"/>
                <w:color w:val="000000"/>
                <w:spacing w:val="8"/>
                <w:kern w:val="0"/>
                <w:sz w:val="23"/>
                <w:szCs w:val="23"/>
                <w:lang w:eastAsia="en-US"/>
              </w:rPr>
              <w:t>评价维度</w:t>
            </w:r>
          </w:p>
        </w:tc>
        <w:tc>
          <w:tcPr>
            <w:tcW w:w="7813" w:type="dxa"/>
            <w:vAlign w:val="top"/>
          </w:tcPr>
          <w:p>
            <w:pPr>
              <w:widowControl/>
              <w:kinsoku w:val="0"/>
              <w:autoSpaceDE w:val="0"/>
              <w:autoSpaceDN w:val="0"/>
              <w:adjustRightInd w:val="0"/>
              <w:snapToGrid w:val="0"/>
              <w:spacing w:before="140" w:line="230" w:lineRule="auto"/>
              <w:ind w:left="3430"/>
              <w:jc w:val="left"/>
              <w:textAlignment w:val="baseline"/>
              <w:rPr>
                <w:rFonts w:ascii="黑体" w:hAnsi="黑体" w:eastAsia="黑体" w:cs="黑体"/>
                <w:snapToGrid w:val="0"/>
                <w:color w:val="000000"/>
                <w:kern w:val="0"/>
                <w:sz w:val="23"/>
                <w:szCs w:val="23"/>
                <w:lang w:eastAsia="en-US"/>
              </w:rPr>
            </w:pPr>
            <w:r>
              <w:rPr>
                <w:rFonts w:ascii="黑体" w:hAnsi="黑体" w:eastAsia="黑体" w:cs="黑体"/>
                <w:snapToGrid w:val="0"/>
                <w:color w:val="000000"/>
                <w:spacing w:val="8"/>
                <w:kern w:val="0"/>
                <w:sz w:val="23"/>
                <w:szCs w:val="23"/>
                <w:lang w:eastAsia="en-US"/>
              </w:rPr>
              <w:t>评价要点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jc w:val="center"/>
        </w:trPr>
        <w:tc>
          <w:tcPr>
            <w:tcW w:w="1830" w:type="dxa"/>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理念与目标</w:t>
            </w:r>
          </w:p>
        </w:tc>
        <w:tc>
          <w:tcPr>
            <w:tcW w:w="7813"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课程设计体现 “ 以学生发展为中心” 的理念，教学目标符合专业课程特点、学生实际，清楚具体，易于理解，便于实施，助力拔尖创新人才培养。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jc w:val="center"/>
        </w:trPr>
        <w:tc>
          <w:tcPr>
            <w:tcW w:w="1830" w:type="dxa"/>
            <w:vMerge w:val="restart"/>
            <w:tcBorders>
              <w:bottom w:val="nil"/>
            </w:tcBorders>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内容分析</w:t>
            </w:r>
          </w:p>
        </w:tc>
        <w:tc>
          <w:tcPr>
            <w:tcW w:w="7813"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紧密对接产业链和创新链，及时将学科研究新进展、实践发展新经验、社会需求新变化、思政教育有机融入课程教学内容，更新及时，动态完善。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jc w:val="center"/>
        </w:trPr>
        <w:tc>
          <w:tcPr>
            <w:tcW w:w="1830" w:type="dxa"/>
            <w:vMerge w:val="continue"/>
            <w:tcBorders>
              <w:top w:val="nil"/>
            </w:tcBorders>
            <w:vAlign w:val="center"/>
          </w:tcPr>
          <w:p>
            <w:pPr>
              <w:jc w:val="center"/>
              <w:rPr>
                <w:rFonts w:hint="eastAsia" w:ascii="黑体" w:hAnsi="黑体" w:eastAsia="黑体" w:cs="黑体"/>
                <w:lang w:val="en-US" w:eastAsia="en-US"/>
              </w:rPr>
            </w:pPr>
          </w:p>
        </w:tc>
        <w:tc>
          <w:tcPr>
            <w:tcW w:w="7813"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避免“两张皮”，将专业课程知识点关系、地位、作用纳入到产业发展的新环境、新背景中去讲授，描述准确，理论与实践结合合理，高校、行业企业内容分配合理；参与教学的双师型师资队伍建设合理。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jc w:val="center"/>
        </w:trPr>
        <w:tc>
          <w:tcPr>
            <w:tcW w:w="1830" w:type="dxa"/>
            <w:vMerge w:val="restart"/>
            <w:tcBorders>
              <w:bottom w:val="nil"/>
            </w:tcBorders>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过程与方法</w:t>
            </w:r>
          </w:p>
        </w:tc>
        <w:tc>
          <w:tcPr>
            <w:tcW w:w="7813"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教学过程在行业企业真实场景下进行，培养学生分析解决复杂问题的能力 以及创新创业的意识和能力</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en-US"/>
              </w:rPr>
              <w:t>实践教学与生产实践对接。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jc w:val="center"/>
        </w:trPr>
        <w:tc>
          <w:tcPr>
            <w:tcW w:w="1830" w:type="dxa"/>
            <w:vMerge w:val="continue"/>
            <w:tcBorders>
              <w:top w:val="nil"/>
              <w:bottom w:val="nil"/>
            </w:tcBorders>
            <w:vAlign w:val="center"/>
          </w:tcPr>
          <w:p>
            <w:pPr>
              <w:jc w:val="center"/>
              <w:rPr>
                <w:rFonts w:hint="eastAsia" w:ascii="黑体" w:hAnsi="黑体" w:eastAsia="黑体" w:cs="黑体"/>
                <w:lang w:val="en-US" w:eastAsia="en-US"/>
              </w:rPr>
            </w:pPr>
          </w:p>
        </w:tc>
        <w:tc>
          <w:tcPr>
            <w:tcW w:w="7813"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通过产教协同解决教学过程中存在的各种问题和困难；教学重点突出，难点把握准确，充分调动学生积极性、主动性和创造性。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jc w:val="center"/>
        </w:trPr>
        <w:tc>
          <w:tcPr>
            <w:tcW w:w="1830" w:type="dxa"/>
            <w:vMerge w:val="continue"/>
            <w:tcBorders>
              <w:top w:val="nil"/>
            </w:tcBorders>
            <w:vAlign w:val="center"/>
          </w:tcPr>
          <w:p>
            <w:pPr>
              <w:jc w:val="center"/>
              <w:rPr>
                <w:rFonts w:hint="eastAsia" w:ascii="黑体" w:hAnsi="黑体" w:eastAsia="黑体" w:cs="黑体"/>
                <w:lang w:val="en-US" w:eastAsia="en-US"/>
              </w:rPr>
            </w:pPr>
          </w:p>
        </w:tc>
        <w:tc>
          <w:tcPr>
            <w:tcW w:w="7813"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合理选择与应用数字化平台和技术，创设教学环境，强调自主、合作、探究的学习。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1830" w:type="dxa"/>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考核评价</w:t>
            </w:r>
          </w:p>
        </w:tc>
        <w:tc>
          <w:tcPr>
            <w:tcW w:w="7813"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评价方法和主体多元，行业企业参与评价，过程性评价和终结性评价相结 合，学生知识、能力和思维发展得到合理有效评价。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830" w:type="dxa"/>
            <w:vAlign w:val="center"/>
          </w:tcPr>
          <w:p>
            <w:pPr>
              <w:jc w:val="center"/>
              <w:rPr>
                <w:rFonts w:hint="eastAsia" w:ascii="黑体" w:hAnsi="黑体" w:eastAsia="黑体" w:cs="黑体"/>
                <w:lang w:val="en-US" w:eastAsia="en-US"/>
              </w:rPr>
            </w:pPr>
            <w:r>
              <w:rPr>
                <w:rFonts w:hint="eastAsia" w:ascii="黑体" w:hAnsi="黑体" w:eastAsia="黑体" w:cs="黑体"/>
                <w:lang w:val="en-US" w:eastAsia="en-US"/>
              </w:rPr>
              <w:t>设计创新</w:t>
            </w:r>
          </w:p>
        </w:tc>
        <w:tc>
          <w:tcPr>
            <w:tcW w:w="7813" w:type="dxa"/>
            <w:vAlign w:val="center"/>
          </w:tcPr>
          <w:p>
            <w:pPr>
              <w:jc w:val="both"/>
              <w:rPr>
                <w:rFonts w:hint="eastAsia" w:ascii="仿宋_GB2312" w:hAnsi="仿宋_GB2312" w:eastAsia="仿宋_GB2312" w:cs="仿宋_GB2312"/>
                <w:sz w:val="24"/>
                <w:szCs w:val="24"/>
                <w:lang w:val="en-US" w:eastAsia="en-US"/>
              </w:rPr>
            </w:pPr>
            <w:r>
              <w:rPr>
                <w:rFonts w:hint="eastAsia" w:ascii="仿宋_GB2312" w:hAnsi="仿宋_GB2312" w:eastAsia="仿宋_GB2312" w:cs="仿宋_GB2312"/>
                <w:sz w:val="24"/>
                <w:szCs w:val="24"/>
                <w:lang w:val="en-US" w:eastAsia="en-US"/>
              </w:rPr>
              <w:t>教学方案的整体设计富有创新性，注重资源整合，能体现产教融合协同育人的教学理念、思路和要求；教学方法选择适当，教学过程设计有突出的特色。</w:t>
            </w:r>
          </w:p>
        </w:tc>
      </w:tr>
    </w:tbl>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line="177" w:lineRule="auto"/>
      <w:ind w:left="8158"/>
      <w:jc w:val="left"/>
      <w:textAlignment w:val="baseline"/>
      <w:rPr>
        <w:rFonts w:ascii="仿宋" w:hAnsi="仿宋" w:eastAsia="仿宋" w:cs="仿宋"/>
        <w:snapToGrid w:val="0"/>
        <w:color w:val="000000"/>
        <w:kern w:val="0"/>
        <w:sz w:val="29"/>
        <w:szCs w:val="29"/>
        <w:lang w:val="en-US" w:eastAsia="en-US"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autoSpaceDE w:val="0"/>
      <w:autoSpaceDN w:val="0"/>
      <w:adjustRightInd w:val="0"/>
      <w:snapToGrid w:val="0"/>
      <w:spacing w:line="177" w:lineRule="auto"/>
      <w:ind w:left="8158"/>
      <w:jc w:val="left"/>
      <w:textAlignment w:val="baseline"/>
      <w:rPr>
        <w:rFonts w:ascii="仿宋" w:hAnsi="仿宋" w:eastAsia="仿宋" w:cs="仿宋"/>
        <w:snapToGrid w:val="0"/>
        <w:color w:val="000000"/>
        <w:kern w:val="0"/>
        <w:sz w:val="29"/>
        <w:szCs w:val="29"/>
        <w:lang w:val="en-US" w:eastAsia="en-US"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MjFhNjBjYmYwZDlhNTlkYjU1YTU0MmM0Yzk1ZWQifQ=="/>
  </w:docVars>
  <w:rsids>
    <w:rsidRoot w:val="00000000"/>
    <w:rsid w:val="4AF3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2024-05-27T06:25:08Z</dcterms:created>
  <dc:creator>Administrator</dc:creator>
  <cp:lastModifiedBy>哈哈哈哈哈</cp:lastModifiedBy>
  <dcterms:modified xsi:type="dcterms:W3CDTF">2024-05-27T06:26:50Z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042BB446F3144B67A2F24C0CACB4F1BF_12</vt:lpwstr>
  </property>
</Properties>
</file>